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691" w:rsidRDefault="00D50691"/>
    <w:p w:rsidR="00FB6454" w:rsidRDefault="00D50691" w:rsidP="00FB6454">
      <w:pPr>
        <w:jc w:val="center"/>
        <w:rPr>
          <w:rFonts w:ascii="Arial Rounded MT Bold" w:hAnsi="Arial Rounded MT Bold"/>
          <w:b/>
          <w:sz w:val="36"/>
          <w:szCs w:val="36"/>
        </w:rPr>
      </w:pPr>
      <w:r>
        <w:rPr>
          <w:rFonts w:ascii="Arial Rounded MT Bold" w:hAnsi="Arial Rounded MT Bold"/>
          <w:b/>
          <w:sz w:val="36"/>
          <w:szCs w:val="36"/>
        </w:rPr>
        <w:t>BRIEF HISTORICAL REPORT</w:t>
      </w:r>
      <w:r w:rsidR="00FB6454">
        <w:rPr>
          <w:rFonts w:ascii="Arial Rounded MT Bold" w:hAnsi="Arial Rounded MT Bold"/>
          <w:b/>
          <w:sz w:val="36"/>
          <w:szCs w:val="36"/>
        </w:rPr>
        <w:t xml:space="preserve"> ON</w:t>
      </w:r>
    </w:p>
    <w:p w:rsidR="00D50691" w:rsidRPr="00FB6454" w:rsidRDefault="00D50691" w:rsidP="00FB6454">
      <w:pPr>
        <w:jc w:val="center"/>
        <w:rPr>
          <w:rFonts w:ascii="Arial Rounded MT Bold" w:hAnsi="Arial Rounded MT Bold"/>
          <w:b/>
          <w:sz w:val="56"/>
          <w:szCs w:val="56"/>
        </w:rPr>
      </w:pPr>
      <w:r w:rsidRPr="00FB6454">
        <w:rPr>
          <w:rFonts w:ascii="Arial Rounded MT Bold" w:hAnsi="Arial Rounded MT Bold"/>
          <w:b/>
          <w:sz w:val="56"/>
          <w:szCs w:val="56"/>
        </w:rPr>
        <w:t>THE OLD BURIAL GROUND</w:t>
      </w:r>
    </w:p>
    <w:p w:rsidR="00D50691" w:rsidRDefault="00D50691" w:rsidP="00D50691">
      <w:pPr>
        <w:jc w:val="center"/>
        <w:rPr>
          <w:rFonts w:ascii="Arial Rounded MT Bold" w:hAnsi="Arial Rounded MT Bold"/>
          <w:b/>
          <w:sz w:val="36"/>
          <w:szCs w:val="36"/>
        </w:rPr>
      </w:pPr>
      <w:r>
        <w:rPr>
          <w:rFonts w:ascii="Arial Rounded MT Bold" w:hAnsi="Arial Rounded MT Bold"/>
          <w:b/>
          <w:sz w:val="36"/>
          <w:szCs w:val="36"/>
        </w:rPr>
        <w:t>OF</w:t>
      </w:r>
    </w:p>
    <w:p w:rsidR="00D50691" w:rsidRPr="00FB6454" w:rsidRDefault="00D50691" w:rsidP="00D50691">
      <w:pPr>
        <w:jc w:val="center"/>
        <w:rPr>
          <w:rFonts w:ascii="Arial Rounded MT Bold" w:hAnsi="Arial Rounded MT Bold"/>
          <w:b/>
          <w:sz w:val="36"/>
          <w:szCs w:val="36"/>
        </w:rPr>
      </w:pPr>
      <w:r>
        <w:rPr>
          <w:rFonts w:ascii="Arial Rounded MT Bold" w:hAnsi="Arial Rounded MT Bold"/>
          <w:b/>
          <w:sz w:val="36"/>
          <w:szCs w:val="36"/>
        </w:rPr>
        <w:t xml:space="preserve"> </w:t>
      </w:r>
      <w:r w:rsidRPr="00FB6454">
        <w:rPr>
          <w:rFonts w:ascii="Arial Rounded MT Bold" w:hAnsi="Arial Rounded MT Bold"/>
          <w:b/>
          <w:sz w:val="36"/>
          <w:szCs w:val="36"/>
        </w:rPr>
        <w:t xml:space="preserve">OULTON </w:t>
      </w:r>
    </w:p>
    <w:p w:rsidR="00D50691" w:rsidRPr="00D50691" w:rsidRDefault="00D50691" w:rsidP="00D50691">
      <w:pPr>
        <w:jc w:val="center"/>
        <w:rPr>
          <w:rFonts w:ascii="Arial Rounded MT Bold" w:hAnsi="Arial Rounded MT Bold"/>
          <w:b/>
          <w:sz w:val="52"/>
          <w:szCs w:val="52"/>
        </w:rPr>
      </w:pPr>
      <w:r w:rsidRPr="00FB6454">
        <w:rPr>
          <w:rFonts w:ascii="Arial Rounded MT Bold" w:hAnsi="Arial Rounded MT Bold"/>
          <w:b/>
          <w:sz w:val="36"/>
          <w:szCs w:val="36"/>
        </w:rPr>
        <w:t>WORKHOUSE</w:t>
      </w:r>
    </w:p>
    <w:p w:rsidR="00D50691" w:rsidRPr="00D50691" w:rsidRDefault="00D50691" w:rsidP="00D50691">
      <w:pPr>
        <w:spacing w:after="120"/>
        <w:rPr>
          <w:b/>
          <w:sz w:val="36"/>
          <w:szCs w:val="36"/>
        </w:rPr>
      </w:pPr>
      <w:r>
        <w:rPr>
          <w:noProof/>
          <w:lang w:eastAsia="en-GB"/>
        </w:rPr>
        <w:drawing>
          <wp:anchor distT="0" distB="0" distL="114300" distR="114300" simplePos="0" relativeHeight="251658240" behindDoc="0" locked="0" layoutInCell="1" allowOverlap="1">
            <wp:simplePos x="0" y="0"/>
            <wp:positionH relativeFrom="column">
              <wp:posOffset>156210</wp:posOffset>
            </wp:positionH>
            <wp:positionV relativeFrom="paragraph">
              <wp:posOffset>262890</wp:posOffset>
            </wp:positionV>
            <wp:extent cx="5732145" cy="3697605"/>
            <wp:effectExtent l="19050" t="0" r="1905" b="0"/>
            <wp:wrapSquare wrapText="bothSides"/>
            <wp:docPr id="1" name="Picture 0" descr="Mutford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tford6 (1).jpg"/>
                    <pic:cNvPicPr/>
                  </pic:nvPicPr>
                  <pic:blipFill>
                    <a:blip r:embed="rId7" cstate="print"/>
                    <a:stretch>
                      <a:fillRect/>
                    </a:stretch>
                  </pic:blipFill>
                  <pic:spPr>
                    <a:xfrm>
                      <a:off x="0" y="0"/>
                      <a:ext cx="5732145" cy="3697605"/>
                    </a:xfrm>
                    <a:prstGeom prst="rect">
                      <a:avLst/>
                    </a:prstGeom>
                  </pic:spPr>
                </pic:pic>
              </a:graphicData>
            </a:graphic>
          </wp:anchor>
        </w:drawing>
      </w:r>
    </w:p>
    <w:p w:rsidR="00D50691" w:rsidRPr="00D50691" w:rsidRDefault="00D50691" w:rsidP="00D50691">
      <w:pPr>
        <w:spacing w:after="120"/>
        <w:jc w:val="center"/>
        <w:rPr>
          <w:b/>
          <w:sz w:val="36"/>
          <w:szCs w:val="36"/>
        </w:rPr>
      </w:pPr>
      <w:r w:rsidRPr="00D50691">
        <w:rPr>
          <w:b/>
          <w:sz w:val="36"/>
          <w:szCs w:val="36"/>
        </w:rPr>
        <w:t>Compiled by Ivan A W Bunn for</w:t>
      </w:r>
    </w:p>
    <w:p w:rsidR="00D50691" w:rsidRPr="00D50691" w:rsidRDefault="00D50691" w:rsidP="00D50691">
      <w:pPr>
        <w:spacing w:after="120"/>
        <w:jc w:val="center"/>
        <w:rPr>
          <w:b/>
          <w:sz w:val="36"/>
          <w:szCs w:val="36"/>
        </w:rPr>
      </w:pPr>
      <w:r w:rsidRPr="00D50691">
        <w:rPr>
          <w:b/>
          <w:sz w:val="36"/>
          <w:szCs w:val="36"/>
        </w:rPr>
        <w:t>OULTON PARISH COUNCIL</w:t>
      </w:r>
    </w:p>
    <w:p w:rsidR="00D50691" w:rsidRPr="00D50691" w:rsidRDefault="00D50691" w:rsidP="00D50691">
      <w:pPr>
        <w:spacing w:after="120"/>
        <w:jc w:val="center"/>
        <w:rPr>
          <w:b/>
          <w:sz w:val="36"/>
          <w:szCs w:val="36"/>
        </w:rPr>
      </w:pPr>
      <w:r w:rsidRPr="00D50691">
        <w:rPr>
          <w:b/>
          <w:sz w:val="36"/>
          <w:szCs w:val="36"/>
        </w:rPr>
        <w:t>JULY 2017</w:t>
      </w:r>
    </w:p>
    <w:p w:rsidR="00D50691" w:rsidRDefault="00D50691"/>
    <w:p w:rsidR="00FB6454" w:rsidRDefault="00FB6454">
      <w:pPr>
        <w:rPr>
          <w:rFonts w:ascii="Times New Roman" w:hAnsi="Times New Roman" w:cs="Times New Roman"/>
          <w:b/>
          <w:sz w:val="24"/>
          <w:szCs w:val="24"/>
        </w:rPr>
      </w:pPr>
    </w:p>
    <w:p w:rsidR="00D50691" w:rsidRDefault="00D50691">
      <w:pPr>
        <w:rPr>
          <w:rFonts w:ascii="Times New Roman" w:hAnsi="Times New Roman" w:cs="Times New Roman"/>
          <w:b/>
          <w:sz w:val="24"/>
          <w:szCs w:val="24"/>
        </w:rPr>
      </w:pPr>
      <w:r w:rsidRPr="00D50691">
        <w:rPr>
          <w:rFonts w:ascii="Times New Roman" w:hAnsi="Times New Roman" w:cs="Times New Roman"/>
          <w:b/>
          <w:sz w:val="24"/>
          <w:szCs w:val="24"/>
        </w:rPr>
        <w:lastRenderedPageBreak/>
        <w:t>BACKGROUND</w:t>
      </w:r>
      <w:r>
        <w:rPr>
          <w:rFonts w:ascii="Times New Roman" w:hAnsi="Times New Roman" w:cs="Times New Roman"/>
          <w:b/>
          <w:sz w:val="24"/>
          <w:szCs w:val="24"/>
        </w:rPr>
        <w:t>:</w:t>
      </w:r>
    </w:p>
    <w:p w:rsidR="00D50691" w:rsidRDefault="00921957">
      <w:pPr>
        <w:rPr>
          <w:rFonts w:ascii="Times New Roman" w:hAnsi="Times New Roman" w:cs="Times New Roman"/>
          <w:sz w:val="24"/>
          <w:szCs w:val="24"/>
        </w:rPr>
      </w:pPr>
      <w:r>
        <w:rPr>
          <w:rFonts w:ascii="Times New Roman" w:hAnsi="Times New Roman" w:cs="Times New Roman"/>
          <w:sz w:val="24"/>
          <w:szCs w:val="24"/>
        </w:rPr>
        <w:t>Oulton Workhouse or House of Industry was erected in 1765 by the Mutford and Lothingland Hundred Incorporation</w:t>
      </w:r>
      <w:r w:rsidR="00F81711">
        <w:rPr>
          <w:rFonts w:ascii="Times New Roman" w:hAnsi="Times New Roman" w:cs="Times New Roman"/>
          <w:sz w:val="24"/>
          <w:szCs w:val="24"/>
        </w:rPr>
        <w:t xml:space="preserve"> which had been created by an</w:t>
      </w:r>
      <w:r>
        <w:rPr>
          <w:rFonts w:ascii="Times New Roman" w:hAnsi="Times New Roman" w:cs="Times New Roman"/>
          <w:sz w:val="24"/>
          <w:szCs w:val="24"/>
        </w:rPr>
        <w:t xml:space="preserve"> Act of Parliament</w:t>
      </w:r>
      <w:r w:rsidR="003B4B72">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of 15</w:t>
      </w:r>
      <w:r w:rsidRPr="00921957">
        <w:rPr>
          <w:rFonts w:ascii="Times New Roman" w:hAnsi="Times New Roman" w:cs="Times New Roman"/>
          <w:sz w:val="24"/>
          <w:szCs w:val="24"/>
          <w:vertAlign w:val="superscript"/>
        </w:rPr>
        <w:t>th</w:t>
      </w:r>
      <w:r>
        <w:rPr>
          <w:rFonts w:ascii="Times New Roman" w:hAnsi="Times New Roman" w:cs="Times New Roman"/>
          <w:sz w:val="24"/>
          <w:szCs w:val="24"/>
        </w:rPr>
        <w:t xml:space="preserve"> November 1763  at a cost of £3,000</w:t>
      </w:r>
      <w:r>
        <w:rPr>
          <w:rStyle w:val="FootnoteReference"/>
          <w:rFonts w:ascii="Times New Roman" w:hAnsi="Times New Roman" w:cs="Times New Roman"/>
          <w:sz w:val="24"/>
          <w:szCs w:val="24"/>
        </w:rPr>
        <w:footnoteReference w:id="2"/>
      </w:r>
      <w:r w:rsidR="000435F2">
        <w:rPr>
          <w:rFonts w:ascii="Times New Roman" w:hAnsi="Times New Roman" w:cs="Times New Roman"/>
          <w:sz w:val="24"/>
          <w:szCs w:val="24"/>
        </w:rPr>
        <w:t>.  T</w:t>
      </w:r>
      <w:r>
        <w:rPr>
          <w:rFonts w:ascii="Times New Roman" w:hAnsi="Times New Roman" w:cs="Times New Roman"/>
          <w:sz w:val="24"/>
          <w:szCs w:val="24"/>
        </w:rPr>
        <w:t>wenty-four parishes of this Hundred were incorporated for the maintenance of the poor, namely:</w:t>
      </w:r>
    </w:p>
    <w:p w:rsidR="00921957" w:rsidRDefault="00921957">
      <w:pPr>
        <w:rPr>
          <w:rFonts w:ascii="Times New Roman" w:hAnsi="Times New Roman" w:cs="Times New Roman"/>
          <w:sz w:val="24"/>
          <w:szCs w:val="24"/>
        </w:rPr>
      </w:pPr>
      <w:r>
        <w:rPr>
          <w:rFonts w:ascii="Times New Roman" w:hAnsi="Times New Roman" w:cs="Times New Roman"/>
          <w:sz w:val="24"/>
          <w:szCs w:val="24"/>
        </w:rPr>
        <w:t xml:space="preserve">Ashby, </w:t>
      </w:r>
      <w:proofErr w:type="spellStart"/>
      <w:r>
        <w:rPr>
          <w:rFonts w:ascii="Times New Roman" w:hAnsi="Times New Roman" w:cs="Times New Roman"/>
          <w:sz w:val="24"/>
          <w:szCs w:val="24"/>
        </w:rPr>
        <w:t>Barnby</w:t>
      </w:r>
      <w:proofErr w:type="spellEnd"/>
      <w:r>
        <w:rPr>
          <w:rFonts w:ascii="Times New Roman" w:hAnsi="Times New Roman" w:cs="Times New Roman"/>
          <w:sz w:val="24"/>
          <w:szCs w:val="24"/>
        </w:rPr>
        <w:t xml:space="preserve">, Belton, Blundeston, Bradwell, Burgh Castle, Carlton Colville, Corton, </w:t>
      </w:r>
      <w:proofErr w:type="spellStart"/>
      <w:r>
        <w:rPr>
          <w:rFonts w:ascii="Times New Roman" w:hAnsi="Times New Roman" w:cs="Times New Roman"/>
          <w:sz w:val="24"/>
          <w:szCs w:val="24"/>
        </w:rPr>
        <w:t>Flixton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Gisleham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Gunton</w:t>
      </w:r>
      <w:proofErr w:type="spellEnd"/>
      <w:r>
        <w:rPr>
          <w:rFonts w:ascii="Times New Roman" w:hAnsi="Times New Roman" w:cs="Times New Roman"/>
          <w:sz w:val="24"/>
          <w:szCs w:val="24"/>
        </w:rPr>
        <w:t xml:space="preserve">, Herringfleet, </w:t>
      </w:r>
      <w:proofErr w:type="spellStart"/>
      <w:r>
        <w:rPr>
          <w:rFonts w:ascii="Times New Roman" w:hAnsi="Times New Roman" w:cs="Times New Roman"/>
          <w:sz w:val="24"/>
          <w:szCs w:val="24"/>
        </w:rPr>
        <w:t>Hopton</w:t>
      </w:r>
      <w:proofErr w:type="spellEnd"/>
      <w:r w:rsidR="000435F2">
        <w:rPr>
          <w:rFonts w:ascii="Times New Roman" w:hAnsi="Times New Roman" w:cs="Times New Roman"/>
          <w:sz w:val="24"/>
          <w:szCs w:val="24"/>
        </w:rPr>
        <w:t>,</w:t>
      </w:r>
      <w:r>
        <w:rPr>
          <w:rFonts w:ascii="Times New Roman" w:hAnsi="Times New Roman" w:cs="Times New Roman"/>
          <w:sz w:val="24"/>
          <w:szCs w:val="24"/>
        </w:rPr>
        <w:t xml:space="preserve"> Kessingland, Kirkley, </w:t>
      </w:r>
      <w:proofErr w:type="spellStart"/>
      <w:r w:rsidR="00F81711">
        <w:rPr>
          <w:rFonts w:ascii="Times New Roman" w:hAnsi="Times New Roman" w:cs="Times New Roman"/>
          <w:sz w:val="24"/>
          <w:szCs w:val="24"/>
        </w:rPr>
        <w:t>Lound</w:t>
      </w:r>
      <w:proofErr w:type="spellEnd"/>
      <w:r w:rsidR="00F81711">
        <w:rPr>
          <w:rFonts w:ascii="Times New Roman" w:hAnsi="Times New Roman" w:cs="Times New Roman"/>
          <w:sz w:val="24"/>
          <w:szCs w:val="24"/>
        </w:rPr>
        <w:t xml:space="preserve">, Lowestoft, Mutford, Oulton, Pakefield, </w:t>
      </w:r>
      <w:proofErr w:type="spellStart"/>
      <w:r w:rsidR="00F81711">
        <w:rPr>
          <w:rFonts w:ascii="Times New Roman" w:hAnsi="Times New Roman" w:cs="Times New Roman"/>
          <w:sz w:val="24"/>
          <w:szCs w:val="24"/>
        </w:rPr>
        <w:t>Rushmere</w:t>
      </w:r>
      <w:proofErr w:type="spellEnd"/>
      <w:r w:rsidR="00F81711">
        <w:rPr>
          <w:rFonts w:ascii="Times New Roman" w:hAnsi="Times New Roman" w:cs="Times New Roman"/>
          <w:sz w:val="24"/>
          <w:szCs w:val="24"/>
        </w:rPr>
        <w:t xml:space="preserve"> and Somerleyton.</w:t>
      </w:r>
    </w:p>
    <w:p w:rsidR="0093407D" w:rsidRDefault="0093407D">
      <w:pPr>
        <w:rPr>
          <w:rFonts w:ascii="Times New Roman" w:hAnsi="Times New Roman" w:cs="Times New Roman"/>
          <w:sz w:val="24"/>
          <w:szCs w:val="24"/>
        </w:rPr>
      </w:pPr>
      <w:r>
        <w:rPr>
          <w:rFonts w:ascii="Times New Roman" w:hAnsi="Times New Roman" w:cs="Times New Roman"/>
          <w:sz w:val="24"/>
          <w:szCs w:val="24"/>
        </w:rPr>
        <w:t>The workhouse, which could hold 300 inmates, consisted of  a chapel, Governor’s apartments, various office</w:t>
      </w:r>
      <w:r w:rsidR="000435F2">
        <w:rPr>
          <w:rFonts w:ascii="Times New Roman" w:hAnsi="Times New Roman" w:cs="Times New Roman"/>
          <w:sz w:val="24"/>
          <w:szCs w:val="24"/>
        </w:rPr>
        <w:t>s and four large working rooms</w:t>
      </w:r>
      <w:r>
        <w:rPr>
          <w:rFonts w:ascii="Times New Roman" w:hAnsi="Times New Roman" w:cs="Times New Roman"/>
          <w:sz w:val="24"/>
          <w:szCs w:val="24"/>
        </w:rPr>
        <w:t xml:space="preserve"> stood in just under 19 acres of land. To the extreme north of these lands was a small enclosure containing just over a half acre designated as the burial ground.</w:t>
      </w:r>
    </w:p>
    <w:p w:rsidR="0093407D" w:rsidRDefault="0093407D">
      <w:pPr>
        <w:rPr>
          <w:rFonts w:ascii="Times New Roman" w:hAnsi="Times New Roman" w:cs="Times New Roman"/>
          <w:sz w:val="24"/>
          <w:szCs w:val="24"/>
        </w:rPr>
      </w:pPr>
      <w:r>
        <w:rPr>
          <w:rFonts w:ascii="Times New Roman" w:hAnsi="Times New Roman" w:cs="Times New Roman"/>
          <w:sz w:val="24"/>
          <w:szCs w:val="24"/>
        </w:rPr>
        <w:t>The history of the workhouse is beyond the scope of this short report, suffice to say that it was enlarged in 1836 and two infirmaries were added, one in 1881 and a second in 1898.</w:t>
      </w:r>
      <w:r w:rsidR="005856D9">
        <w:rPr>
          <w:rFonts w:ascii="Times New Roman" w:hAnsi="Times New Roman" w:cs="Times New Roman"/>
          <w:sz w:val="24"/>
          <w:szCs w:val="24"/>
        </w:rPr>
        <w:t xml:space="preserve">  In 1893 the Incorporation which managed the Workhouse and its grounds was dissolved and replaced by the Mutford and Lothingland Poor Law Union.</w:t>
      </w:r>
    </w:p>
    <w:p w:rsidR="005856D9" w:rsidRDefault="005856D9">
      <w:pPr>
        <w:rPr>
          <w:rFonts w:ascii="Times New Roman" w:hAnsi="Times New Roman" w:cs="Times New Roman"/>
          <w:sz w:val="24"/>
          <w:szCs w:val="24"/>
        </w:rPr>
      </w:pPr>
      <w:r>
        <w:rPr>
          <w:rFonts w:ascii="Times New Roman" w:hAnsi="Times New Roman" w:cs="Times New Roman"/>
          <w:sz w:val="24"/>
          <w:szCs w:val="24"/>
        </w:rPr>
        <w:t>Nationally, Poor Law Unions were abolished by the Local Government, 1929</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which transferred responsibility for public assistance to </w:t>
      </w:r>
      <w:r w:rsidR="002735BF">
        <w:rPr>
          <w:rFonts w:ascii="Times New Roman" w:hAnsi="Times New Roman" w:cs="Times New Roman"/>
          <w:sz w:val="24"/>
          <w:szCs w:val="24"/>
        </w:rPr>
        <w:t>county</w:t>
      </w:r>
      <w:r w:rsidR="000435F2">
        <w:rPr>
          <w:rFonts w:ascii="Times New Roman" w:hAnsi="Times New Roman" w:cs="Times New Roman"/>
          <w:sz w:val="24"/>
          <w:szCs w:val="24"/>
        </w:rPr>
        <w:t>,</w:t>
      </w:r>
      <w:r w:rsidR="002735BF">
        <w:rPr>
          <w:rFonts w:ascii="Times New Roman" w:hAnsi="Times New Roman" w:cs="Times New Roman"/>
          <w:sz w:val="24"/>
          <w:szCs w:val="24"/>
        </w:rPr>
        <w:t xml:space="preserve"> and county borough councils. Under this Act in 1930 Oulton Workhouse and its administration was transferred to the East Suffolk County Council. Initially it was renamed Lothingland House and then Lothingland Hospital which provided mental health care.</w:t>
      </w:r>
    </w:p>
    <w:p w:rsidR="002735BF" w:rsidRDefault="002735BF">
      <w:pPr>
        <w:rPr>
          <w:rFonts w:ascii="Times New Roman" w:hAnsi="Times New Roman" w:cs="Times New Roman"/>
          <w:sz w:val="24"/>
          <w:szCs w:val="24"/>
        </w:rPr>
      </w:pPr>
      <w:r>
        <w:rPr>
          <w:rFonts w:ascii="Times New Roman" w:hAnsi="Times New Roman" w:cs="Times New Roman"/>
          <w:sz w:val="24"/>
          <w:szCs w:val="24"/>
        </w:rPr>
        <w:t>The old workhouse buildings were demolished in the 1960s, but the two infirmaries remained in use for another thirty years until they too were demolished.</w:t>
      </w:r>
    </w:p>
    <w:p w:rsidR="002735BF" w:rsidRDefault="002735BF">
      <w:pPr>
        <w:rPr>
          <w:rFonts w:ascii="Times New Roman" w:hAnsi="Times New Roman" w:cs="Times New Roman"/>
          <w:sz w:val="24"/>
          <w:szCs w:val="24"/>
        </w:rPr>
      </w:pPr>
      <w:r>
        <w:rPr>
          <w:rFonts w:ascii="Times New Roman" w:hAnsi="Times New Roman" w:cs="Times New Roman"/>
          <w:sz w:val="24"/>
          <w:szCs w:val="24"/>
        </w:rPr>
        <w:t>Later, on</w:t>
      </w:r>
      <w:r w:rsidR="006C430A">
        <w:rPr>
          <w:rFonts w:ascii="Times New Roman" w:hAnsi="Times New Roman" w:cs="Times New Roman"/>
          <w:sz w:val="24"/>
          <w:szCs w:val="24"/>
        </w:rPr>
        <w:t xml:space="preserve"> the eastern</w:t>
      </w:r>
      <w:r>
        <w:rPr>
          <w:rFonts w:ascii="Times New Roman" w:hAnsi="Times New Roman" w:cs="Times New Roman"/>
          <w:sz w:val="24"/>
          <w:szCs w:val="24"/>
        </w:rPr>
        <w:t xml:space="preserve"> part of the 18 acre site</w:t>
      </w:r>
      <w:r w:rsidR="006C430A">
        <w:rPr>
          <w:rFonts w:ascii="Times New Roman" w:hAnsi="Times New Roman" w:cs="Times New Roman"/>
          <w:sz w:val="24"/>
          <w:szCs w:val="24"/>
        </w:rPr>
        <w:t>,</w:t>
      </w:r>
      <w:r>
        <w:rPr>
          <w:rFonts w:ascii="Times New Roman" w:hAnsi="Times New Roman" w:cs="Times New Roman"/>
          <w:sz w:val="24"/>
          <w:szCs w:val="24"/>
        </w:rPr>
        <w:t xml:space="preserve"> a private care home was built</w:t>
      </w:r>
      <w:r w:rsidR="006C430A">
        <w:rPr>
          <w:rStyle w:val="FootnoteReference"/>
          <w:rFonts w:ascii="Times New Roman" w:hAnsi="Times New Roman" w:cs="Times New Roman"/>
          <w:sz w:val="24"/>
          <w:szCs w:val="24"/>
        </w:rPr>
        <w:footnoteReference w:id="4"/>
      </w:r>
      <w:r w:rsidR="006C430A">
        <w:rPr>
          <w:rFonts w:ascii="Times New Roman" w:hAnsi="Times New Roman" w:cs="Times New Roman"/>
          <w:sz w:val="24"/>
          <w:szCs w:val="24"/>
        </w:rPr>
        <w:t xml:space="preserve">, with more bungalow units built on </w:t>
      </w:r>
      <w:proofErr w:type="spellStart"/>
      <w:r w:rsidR="006C430A">
        <w:rPr>
          <w:rFonts w:ascii="Times New Roman" w:hAnsi="Times New Roman" w:cs="Times New Roman"/>
          <w:sz w:val="24"/>
          <w:szCs w:val="24"/>
        </w:rPr>
        <w:t>Airey</w:t>
      </w:r>
      <w:proofErr w:type="spellEnd"/>
      <w:r w:rsidR="006C430A">
        <w:rPr>
          <w:rFonts w:ascii="Times New Roman" w:hAnsi="Times New Roman" w:cs="Times New Roman"/>
          <w:sz w:val="24"/>
          <w:szCs w:val="24"/>
        </w:rPr>
        <w:t xml:space="preserve"> Close to the north-east.  A</w:t>
      </w:r>
      <w:r>
        <w:rPr>
          <w:rFonts w:ascii="Times New Roman" w:hAnsi="Times New Roman" w:cs="Times New Roman"/>
          <w:sz w:val="24"/>
          <w:szCs w:val="24"/>
        </w:rPr>
        <w:t>fter the demolition of all the buildings (including the old chapel which was the last to go)</w:t>
      </w:r>
      <w:r w:rsidR="006C430A">
        <w:rPr>
          <w:rFonts w:ascii="Times New Roman" w:hAnsi="Times New Roman" w:cs="Times New Roman"/>
          <w:sz w:val="24"/>
          <w:szCs w:val="24"/>
        </w:rPr>
        <w:t xml:space="preserve"> the remaining land </w:t>
      </w:r>
      <w:r>
        <w:rPr>
          <w:rFonts w:ascii="Times New Roman" w:hAnsi="Times New Roman" w:cs="Times New Roman"/>
          <w:sz w:val="24"/>
          <w:szCs w:val="24"/>
        </w:rPr>
        <w:t xml:space="preserve"> </w:t>
      </w:r>
      <w:r w:rsidR="006C430A">
        <w:rPr>
          <w:rFonts w:ascii="Times New Roman" w:hAnsi="Times New Roman" w:cs="Times New Roman"/>
          <w:sz w:val="24"/>
          <w:szCs w:val="24"/>
        </w:rPr>
        <w:t xml:space="preserve">on the western edge of the site was sold for housing development on a newly laid-out road named </w:t>
      </w:r>
      <w:proofErr w:type="spellStart"/>
      <w:r w:rsidR="006C430A">
        <w:rPr>
          <w:rFonts w:ascii="Times New Roman" w:hAnsi="Times New Roman" w:cs="Times New Roman"/>
          <w:sz w:val="24"/>
          <w:szCs w:val="24"/>
        </w:rPr>
        <w:t>Flixton</w:t>
      </w:r>
      <w:proofErr w:type="spellEnd"/>
      <w:r w:rsidR="006C430A">
        <w:rPr>
          <w:rFonts w:ascii="Times New Roman" w:hAnsi="Times New Roman" w:cs="Times New Roman"/>
          <w:sz w:val="24"/>
          <w:szCs w:val="24"/>
        </w:rPr>
        <w:t xml:space="preserve"> View. </w:t>
      </w:r>
      <w:r w:rsidR="00941AE1">
        <w:rPr>
          <w:rFonts w:ascii="Times New Roman" w:hAnsi="Times New Roman" w:cs="Times New Roman"/>
          <w:sz w:val="24"/>
          <w:szCs w:val="24"/>
        </w:rPr>
        <w:t xml:space="preserve"> The remaining workhouse lands to the north of </w:t>
      </w:r>
      <w:proofErr w:type="spellStart"/>
      <w:r w:rsidR="00941AE1">
        <w:rPr>
          <w:rFonts w:ascii="Times New Roman" w:hAnsi="Times New Roman" w:cs="Times New Roman"/>
          <w:sz w:val="24"/>
          <w:szCs w:val="24"/>
        </w:rPr>
        <w:t>Flixton</w:t>
      </w:r>
      <w:proofErr w:type="spellEnd"/>
      <w:r w:rsidR="00941AE1">
        <w:rPr>
          <w:rFonts w:ascii="Times New Roman" w:hAnsi="Times New Roman" w:cs="Times New Roman"/>
          <w:sz w:val="24"/>
          <w:szCs w:val="24"/>
        </w:rPr>
        <w:t xml:space="preserve"> View (including the old burial ground)  have not yet been developed but appear to be extensively used and excavated. </w:t>
      </w:r>
    </w:p>
    <w:p w:rsidR="00941AE1" w:rsidRDefault="00941AE1">
      <w:pPr>
        <w:rPr>
          <w:rFonts w:ascii="Times New Roman" w:hAnsi="Times New Roman" w:cs="Times New Roman"/>
          <w:sz w:val="24"/>
          <w:szCs w:val="24"/>
        </w:rPr>
      </w:pPr>
      <w:r>
        <w:rPr>
          <w:rFonts w:ascii="Times New Roman" w:hAnsi="Times New Roman" w:cs="Times New Roman"/>
          <w:sz w:val="24"/>
          <w:szCs w:val="24"/>
        </w:rPr>
        <w:t>[NB: See aerial view on the following page for a present day perspective</w:t>
      </w:r>
      <w:r w:rsidR="00B63C65">
        <w:rPr>
          <w:rFonts w:ascii="Times New Roman" w:hAnsi="Times New Roman" w:cs="Times New Roman"/>
          <w:sz w:val="24"/>
          <w:szCs w:val="24"/>
        </w:rPr>
        <w:t xml:space="preserve"> - Fig 1</w:t>
      </w:r>
      <w:r>
        <w:rPr>
          <w:rFonts w:ascii="Times New Roman" w:hAnsi="Times New Roman" w:cs="Times New Roman"/>
          <w:sz w:val="24"/>
          <w:szCs w:val="24"/>
        </w:rPr>
        <w:t>]</w:t>
      </w:r>
    </w:p>
    <w:p w:rsidR="004B3EB5" w:rsidRDefault="004B3EB5" w:rsidP="00B63C65">
      <w:pPr>
        <w:keepNext/>
        <w:rPr>
          <w:rFonts w:ascii="Arial" w:hAnsi="Arial" w:cs="Arial"/>
          <w:b/>
          <w:sz w:val="20"/>
          <w:szCs w:val="20"/>
        </w:rPr>
      </w:pPr>
    </w:p>
    <w:p w:rsidR="004B3EB5" w:rsidRDefault="004B3EB5" w:rsidP="00B63C65">
      <w:pPr>
        <w:keepNext/>
        <w:rPr>
          <w:rFonts w:ascii="Arial" w:hAnsi="Arial" w:cs="Arial"/>
          <w:b/>
          <w:sz w:val="20"/>
          <w:szCs w:val="20"/>
        </w:rPr>
      </w:pPr>
      <w:r>
        <w:rPr>
          <w:rFonts w:ascii="Arial" w:hAnsi="Arial" w:cs="Arial"/>
          <w:b/>
          <w:noProof/>
          <w:sz w:val="20"/>
          <w:szCs w:val="20"/>
          <w:lang w:eastAsia="en-GB"/>
        </w:rPr>
        <w:lastRenderedPageBreak/>
        <w:drawing>
          <wp:anchor distT="0" distB="0" distL="114300" distR="114300" simplePos="0" relativeHeight="251659264" behindDoc="0" locked="0" layoutInCell="1" allowOverlap="1">
            <wp:simplePos x="0" y="0"/>
            <wp:positionH relativeFrom="column">
              <wp:posOffset>19050</wp:posOffset>
            </wp:positionH>
            <wp:positionV relativeFrom="paragraph">
              <wp:posOffset>80645</wp:posOffset>
            </wp:positionV>
            <wp:extent cx="5732145" cy="3382010"/>
            <wp:effectExtent l="19050" t="0" r="1905" b="0"/>
            <wp:wrapSquare wrapText="bothSides"/>
            <wp:docPr id="2" name="Picture 1" descr="google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view.png"/>
                    <pic:cNvPicPr/>
                  </pic:nvPicPr>
                  <pic:blipFill>
                    <a:blip r:embed="rId8" cstate="print"/>
                    <a:stretch>
                      <a:fillRect/>
                    </a:stretch>
                  </pic:blipFill>
                  <pic:spPr>
                    <a:xfrm>
                      <a:off x="0" y="0"/>
                      <a:ext cx="5732145" cy="3382010"/>
                    </a:xfrm>
                    <a:prstGeom prst="rect">
                      <a:avLst/>
                    </a:prstGeom>
                  </pic:spPr>
                </pic:pic>
              </a:graphicData>
            </a:graphic>
          </wp:anchor>
        </w:drawing>
      </w:r>
    </w:p>
    <w:p w:rsidR="00B63C65" w:rsidRPr="00B63C65" w:rsidRDefault="001566B4" w:rsidP="00B63C65">
      <w:pPr>
        <w:keepNext/>
        <w:rPr>
          <w:rFonts w:ascii="Arial" w:hAnsi="Arial" w:cs="Arial"/>
          <w:b/>
          <w:sz w:val="20"/>
          <w:szCs w:val="20"/>
        </w:rPr>
      </w:pPr>
      <w:r w:rsidRPr="00B63C65">
        <w:rPr>
          <w:rFonts w:ascii="Arial" w:hAnsi="Arial" w:cs="Arial"/>
          <w:b/>
          <w:sz w:val="20"/>
          <w:szCs w:val="20"/>
        </w:rPr>
        <w:fldChar w:fldCharType="begin"/>
      </w:r>
      <w:r w:rsidR="00B63C65" w:rsidRPr="00B63C65">
        <w:rPr>
          <w:rFonts w:ascii="Arial" w:hAnsi="Arial" w:cs="Arial"/>
          <w:b/>
          <w:sz w:val="20"/>
          <w:szCs w:val="20"/>
        </w:rPr>
        <w:instrText xml:space="preserve"> SEQ Figure \* ARABIC </w:instrText>
      </w:r>
      <w:r w:rsidRPr="00B63C65">
        <w:rPr>
          <w:rFonts w:ascii="Arial" w:hAnsi="Arial" w:cs="Arial"/>
          <w:b/>
          <w:sz w:val="20"/>
          <w:szCs w:val="20"/>
        </w:rPr>
        <w:fldChar w:fldCharType="separate"/>
      </w:r>
      <w:r w:rsidR="00B63C65" w:rsidRPr="00B63C65">
        <w:rPr>
          <w:rFonts w:ascii="Arial" w:hAnsi="Arial" w:cs="Arial"/>
          <w:b/>
          <w:noProof/>
          <w:sz w:val="20"/>
          <w:szCs w:val="20"/>
        </w:rPr>
        <w:t>1</w:t>
      </w:r>
      <w:r w:rsidRPr="00B63C65">
        <w:rPr>
          <w:rFonts w:ascii="Arial" w:hAnsi="Arial" w:cs="Arial"/>
          <w:b/>
          <w:sz w:val="20"/>
          <w:szCs w:val="20"/>
        </w:rPr>
        <w:fldChar w:fldCharType="end"/>
      </w:r>
      <w:r w:rsidR="00B63C65" w:rsidRPr="00B63C65">
        <w:rPr>
          <w:rFonts w:ascii="Arial" w:hAnsi="Arial" w:cs="Arial"/>
          <w:b/>
          <w:sz w:val="20"/>
          <w:szCs w:val="20"/>
        </w:rPr>
        <w:t>. Aerial View of the workhouse site 2017. Original boundaries of the site are indicated by a broken red line.</w:t>
      </w:r>
    </w:p>
    <w:p w:rsidR="00403D5D" w:rsidRDefault="00403D5D">
      <w:pPr>
        <w:rPr>
          <w:rFonts w:ascii="Times New Roman" w:hAnsi="Times New Roman" w:cs="Times New Roman"/>
          <w:b/>
          <w:sz w:val="24"/>
          <w:szCs w:val="24"/>
        </w:rPr>
      </w:pPr>
    </w:p>
    <w:p w:rsidR="003B4B72" w:rsidRDefault="00B63C65">
      <w:pPr>
        <w:rPr>
          <w:rFonts w:ascii="Times New Roman" w:hAnsi="Times New Roman" w:cs="Times New Roman"/>
          <w:b/>
          <w:sz w:val="24"/>
          <w:szCs w:val="24"/>
        </w:rPr>
      </w:pPr>
      <w:r w:rsidRPr="00B63C65">
        <w:rPr>
          <w:rFonts w:ascii="Times New Roman" w:hAnsi="Times New Roman" w:cs="Times New Roman"/>
          <w:b/>
          <w:sz w:val="24"/>
          <w:szCs w:val="24"/>
        </w:rPr>
        <w:t>THE BURIAL GROUND:</w:t>
      </w:r>
    </w:p>
    <w:p w:rsidR="000211E1" w:rsidRDefault="00B63C65">
      <w:pPr>
        <w:rPr>
          <w:rFonts w:ascii="Times New Roman" w:hAnsi="Times New Roman" w:cs="Times New Roman"/>
          <w:sz w:val="24"/>
          <w:szCs w:val="24"/>
        </w:rPr>
      </w:pPr>
      <w:r w:rsidRPr="00B63C65">
        <w:rPr>
          <w:rFonts w:ascii="Times New Roman" w:hAnsi="Times New Roman" w:cs="Times New Roman"/>
          <w:sz w:val="24"/>
          <w:szCs w:val="24"/>
        </w:rPr>
        <w:t xml:space="preserve">It would appear that a burial ground </w:t>
      </w:r>
      <w:r>
        <w:rPr>
          <w:rFonts w:ascii="Times New Roman" w:hAnsi="Times New Roman" w:cs="Times New Roman"/>
          <w:sz w:val="24"/>
          <w:szCs w:val="24"/>
        </w:rPr>
        <w:t>was incorporated into the site from the beginning in 1763</w:t>
      </w:r>
      <w:r>
        <w:rPr>
          <w:rStyle w:val="FootnoteReference"/>
          <w:rFonts w:ascii="Times New Roman" w:hAnsi="Times New Roman" w:cs="Times New Roman"/>
          <w:sz w:val="24"/>
          <w:szCs w:val="24"/>
        </w:rPr>
        <w:footnoteReference w:id="5"/>
      </w:r>
      <w:r w:rsidR="00403D5D">
        <w:rPr>
          <w:rFonts w:ascii="Times New Roman" w:hAnsi="Times New Roman" w:cs="Times New Roman"/>
          <w:sz w:val="24"/>
          <w:szCs w:val="24"/>
        </w:rPr>
        <w:t xml:space="preserve"> although there </w:t>
      </w:r>
      <w:r w:rsidR="000211E1">
        <w:rPr>
          <w:rFonts w:ascii="Times New Roman" w:hAnsi="Times New Roman" w:cs="Times New Roman"/>
          <w:sz w:val="24"/>
          <w:szCs w:val="24"/>
        </w:rPr>
        <w:t>is no evidence to state this categorically.</w:t>
      </w:r>
    </w:p>
    <w:p w:rsidR="000211E1" w:rsidRDefault="00403D5D">
      <w:pPr>
        <w:rPr>
          <w:rFonts w:ascii="Times New Roman" w:hAnsi="Times New Roman" w:cs="Times New Roman"/>
          <w:sz w:val="24"/>
          <w:szCs w:val="24"/>
        </w:rPr>
      </w:pPr>
      <w:r>
        <w:rPr>
          <w:rFonts w:ascii="Times New Roman" w:hAnsi="Times New Roman" w:cs="Times New Roman"/>
          <w:sz w:val="24"/>
          <w:szCs w:val="24"/>
        </w:rPr>
        <w:t>The earliest reference to the burial ground</w:t>
      </w:r>
      <w:r w:rsidR="000211E1">
        <w:rPr>
          <w:rFonts w:ascii="Times New Roman" w:hAnsi="Times New Roman" w:cs="Times New Roman"/>
          <w:sz w:val="24"/>
          <w:szCs w:val="24"/>
        </w:rPr>
        <w:t xml:space="preserve"> here</w:t>
      </w:r>
      <w:r>
        <w:rPr>
          <w:rFonts w:ascii="Times New Roman" w:hAnsi="Times New Roman" w:cs="Times New Roman"/>
          <w:sz w:val="24"/>
          <w:szCs w:val="24"/>
        </w:rPr>
        <w:t xml:space="preserve"> is the register of burials which commences in May 1834</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w:t>
      </w:r>
      <w:r w:rsidR="004B3EB5">
        <w:rPr>
          <w:rFonts w:ascii="Times New Roman" w:hAnsi="Times New Roman" w:cs="Times New Roman"/>
          <w:sz w:val="24"/>
          <w:szCs w:val="24"/>
        </w:rPr>
        <w:t>This register contains the names of no less than 896 men, women and children interred here between 30 May 1834 and 5 February 1899 after which date the burial ground ceased to be used</w:t>
      </w:r>
      <w:r w:rsidR="004B3EB5">
        <w:rPr>
          <w:rStyle w:val="FootnoteReference"/>
          <w:rFonts w:ascii="Times New Roman" w:hAnsi="Times New Roman" w:cs="Times New Roman"/>
          <w:sz w:val="24"/>
          <w:szCs w:val="24"/>
        </w:rPr>
        <w:footnoteReference w:id="7"/>
      </w:r>
      <w:r w:rsidR="004B3EB5">
        <w:rPr>
          <w:rFonts w:ascii="Times New Roman" w:hAnsi="Times New Roman" w:cs="Times New Roman"/>
          <w:sz w:val="24"/>
          <w:szCs w:val="24"/>
        </w:rPr>
        <w:t xml:space="preserve">. (see below).  </w:t>
      </w:r>
      <w:r w:rsidR="000211E1">
        <w:rPr>
          <w:rFonts w:ascii="Times New Roman" w:hAnsi="Times New Roman" w:cs="Times New Roman"/>
          <w:sz w:val="24"/>
          <w:szCs w:val="24"/>
        </w:rPr>
        <w:t>The people buried here came from any of the parishes within the Mutford and Lothingland Incorporation and their ages ranged from 21 days to 96 years.</w:t>
      </w:r>
    </w:p>
    <w:p w:rsidR="000211E1" w:rsidRDefault="000211E1">
      <w:pPr>
        <w:rPr>
          <w:rFonts w:ascii="Times New Roman" w:hAnsi="Times New Roman" w:cs="Times New Roman"/>
          <w:sz w:val="24"/>
          <w:szCs w:val="24"/>
        </w:rPr>
      </w:pPr>
      <w:r>
        <w:rPr>
          <w:rFonts w:ascii="Times New Roman" w:hAnsi="Times New Roman" w:cs="Times New Roman"/>
          <w:sz w:val="24"/>
          <w:szCs w:val="24"/>
        </w:rPr>
        <w:t>Almost without exception all of these people would have been paupers who had died in the workhouse and for various reasons (usually poverty) their bodies could not be returned to the town or parish in which they had resided.</w:t>
      </w:r>
    </w:p>
    <w:p w:rsidR="00B63C65" w:rsidRDefault="00B63C65">
      <w:pPr>
        <w:rPr>
          <w:rFonts w:ascii="Times New Roman" w:hAnsi="Times New Roman" w:cs="Times New Roman"/>
          <w:sz w:val="24"/>
          <w:szCs w:val="24"/>
        </w:rPr>
      </w:pPr>
      <w:r>
        <w:rPr>
          <w:rFonts w:ascii="Times New Roman" w:hAnsi="Times New Roman" w:cs="Times New Roman"/>
          <w:sz w:val="24"/>
          <w:szCs w:val="24"/>
        </w:rPr>
        <w:lastRenderedPageBreak/>
        <w:t>The</w:t>
      </w:r>
      <w:r w:rsidR="000211E1">
        <w:rPr>
          <w:rFonts w:ascii="Times New Roman" w:hAnsi="Times New Roman" w:cs="Times New Roman"/>
          <w:sz w:val="24"/>
          <w:szCs w:val="24"/>
        </w:rPr>
        <w:t xml:space="preserve"> earliest identification of the Burial Ground site is</w:t>
      </w:r>
      <w:r>
        <w:rPr>
          <w:rFonts w:ascii="Times New Roman" w:hAnsi="Times New Roman" w:cs="Times New Roman"/>
          <w:sz w:val="24"/>
          <w:szCs w:val="24"/>
        </w:rPr>
        <w:t xml:space="preserve"> on the Oulton Tithe Map and Apportionment from 1842</w:t>
      </w:r>
      <w:r w:rsidR="00403D5D">
        <w:rPr>
          <w:rStyle w:val="FootnoteReference"/>
          <w:rFonts w:ascii="Times New Roman" w:hAnsi="Times New Roman" w:cs="Times New Roman"/>
          <w:sz w:val="24"/>
          <w:szCs w:val="24"/>
        </w:rPr>
        <w:footnoteReference w:id="8"/>
      </w:r>
      <w:r w:rsidR="00403D5D">
        <w:rPr>
          <w:rFonts w:ascii="Times New Roman" w:hAnsi="Times New Roman" w:cs="Times New Roman"/>
          <w:sz w:val="24"/>
          <w:szCs w:val="24"/>
        </w:rPr>
        <w:t>:</w:t>
      </w:r>
    </w:p>
    <w:p w:rsidR="00403D5D" w:rsidRDefault="00403D5D" w:rsidP="000211E1">
      <w:pPr>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4860447" cy="4630910"/>
            <wp:effectExtent l="19050" t="0" r="0" b="0"/>
            <wp:docPr id="3" name="Picture 2"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9" cstate="print"/>
                    <a:stretch>
                      <a:fillRect/>
                    </a:stretch>
                  </pic:blipFill>
                  <pic:spPr>
                    <a:xfrm>
                      <a:off x="0" y="0"/>
                      <a:ext cx="4866659" cy="4636828"/>
                    </a:xfrm>
                    <a:prstGeom prst="rect">
                      <a:avLst/>
                    </a:prstGeom>
                  </pic:spPr>
                </pic:pic>
              </a:graphicData>
            </a:graphic>
          </wp:inline>
        </w:drawing>
      </w:r>
    </w:p>
    <w:p w:rsidR="000211E1" w:rsidRDefault="000211E1" w:rsidP="000211E1">
      <w:pPr>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4855712" cy="2330484"/>
            <wp:effectExtent l="19050" t="19050" r="21088" b="12666"/>
            <wp:docPr id="4" name="Picture 3" descr="apportion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ortionment.png"/>
                    <pic:cNvPicPr/>
                  </pic:nvPicPr>
                  <pic:blipFill>
                    <a:blip r:embed="rId10" cstate="print"/>
                    <a:stretch>
                      <a:fillRect/>
                    </a:stretch>
                  </pic:blipFill>
                  <pic:spPr>
                    <a:xfrm>
                      <a:off x="0" y="0"/>
                      <a:ext cx="4854861" cy="2330075"/>
                    </a:xfrm>
                    <a:prstGeom prst="rect">
                      <a:avLst/>
                    </a:prstGeom>
                    <a:ln>
                      <a:solidFill>
                        <a:schemeClr val="tx1"/>
                      </a:solidFill>
                    </a:ln>
                  </pic:spPr>
                </pic:pic>
              </a:graphicData>
            </a:graphic>
          </wp:inline>
        </w:drawing>
      </w:r>
    </w:p>
    <w:p w:rsidR="000211E1" w:rsidRDefault="00093C78" w:rsidP="000211E1">
      <w:pPr>
        <w:rPr>
          <w:rFonts w:ascii="Times New Roman" w:hAnsi="Times New Roman" w:cs="Times New Roman"/>
          <w:sz w:val="24"/>
          <w:szCs w:val="24"/>
        </w:rPr>
      </w:pPr>
      <w:r>
        <w:rPr>
          <w:rFonts w:ascii="Times New Roman" w:hAnsi="Times New Roman" w:cs="Times New Roman"/>
          <w:sz w:val="24"/>
          <w:szCs w:val="24"/>
        </w:rPr>
        <w:t>The burial plot (containing 2 roods 16 perches) is smaller than that on later maps and it would appear that it was extended eastwards at some time, probably in 1836 when the workhouse was enlarged.</w:t>
      </w:r>
    </w:p>
    <w:p w:rsidR="00FB6454" w:rsidRDefault="00FB6454" w:rsidP="000211E1">
      <w:pPr>
        <w:rPr>
          <w:rFonts w:ascii="Times New Roman" w:hAnsi="Times New Roman" w:cs="Times New Roman"/>
          <w:sz w:val="24"/>
          <w:szCs w:val="24"/>
        </w:rPr>
      </w:pPr>
      <w:r>
        <w:rPr>
          <w:rFonts w:ascii="Times New Roman" w:hAnsi="Times New Roman" w:cs="Times New Roman"/>
          <w:sz w:val="24"/>
          <w:szCs w:val="24"/>
        </w:rPr>
        <w:lastRenderedPageBreak/>
        <w:t>The map below shows th</w:t>
      </w:r>
      <w:r w:rsidR="00A5461D">
        <w:rPr>
          <w:rFonts w:ascii="Times New Roman" w:hAnsi="Times New Roman" w:cs="Times New Roman"/>
          <w:sz w:val="24"/>
          <w:szCs w:val="24"/>
        </w:rPr>
        <w:t>e extended burial ground in 1884</w:t>
      </w:r>
      <w:r>
        <w:rPr>
          <w:rFonts w:ascii="Times New Roman" w:hAnsi="Times New Roman" w:cs="Times New Roman"/>
          <w:sz w:val="24"/>
          <w:szCs w:val="24"/>
        </w:rPr>
        <w:t>:</w:t>
      </w:r>
    </w:p>
    <w:p w:rsidR="00FB6454" w:rsidRDefault="00FB6454" w:rsidP="000211E1">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0288" behindDoc="0" locked="0" layoutInCell="1" allowOverlap="1">
            <wp:simplePos x="0" y="0"/>
            <wp:positionH relativeFrom="margin">
              <wp:align>center</wp:align>
            </wp:positionH>
            <wp:positionV relativeFrom="margin">
              <wp:posOffset>509270</wp:posOffset>
            </wp:positionV>
            <wp:extent cx="4649470" cy="4555490"/>
            <wp:effectExtent l="19050" t="0" r="0" b="0"/>
            <wp:wrapSquare wrapText="bothSides"/>
            <wp:docPr id="5" name="Picture 4" descr="1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4.png"/>
                    <pic:cNvPicPr/>
                  </pic:nvPicPr>
                  <pic:blipFill>
                    <a:blip r:embed="rId11" cstate="print"/>
                    <a:stretch>
                      <a:fillRect/>
                    </a:stretch>
                  </pic:blipFill>
                  <pic:spPr>
                    <a:xfrm>
                      <a:off x="0" y="0"/>
                      <a:ext cx="4649470" cy="4555490"/>
                    </a:xfrm>
                    <a:prstGeom prst="rect">
                      <a:avLst/>
                    </a:prstGeom>
                  </pic:spPr>
                </pic:pic>
              </a:graphicData>
            </a:graphic>
          </wp:anchor>
        </w:drawing>
      </w:r>
    </w:p>
    <w:p w:rsidR="00FB6454" w:rsidRDefault="00FB6454" w:rsidP="000211E1">
      <w:pPr>
        <w:rPr>
          <w:rFonts w:ascii="Times New Roman" w:hAnsi="Times New Roman" w:cs="Times New Roman"/>
          <w:sz w:val="24"/>
          <w:szCs w:val="24"/>
        </w:rPr>
      </w:pPr>
    </w:p>
    <w:p w:rsidR="00FB6454" w:rsidRDefault="00FB6454" w:rsidP="000211E1">
      <w:pPr>
        <w:rPr>
          <w:rFonts w:ascii="Times New Roman" w:hAnsi="Times New Roman" w:cs="Times New Roman"/>
          <w:sz w:val="24"/>
          <w:szCs w:val="24"/>
        </w:rPr>
      </w:pPr>
    </w:p>
    <w:p w:rsidR="00FB6454" w:rsidRDefault="00FB6454" w:rsidP="000211E1">
      <w:pPr>
        <w:rPr>
          <w:rFonts w:ascii="Times New Roman" w:hAnsi="Times New Roman" w:cs="Times New Roman"/>
          <w:sz w:val="24"/>
          <w:szCs w:val="24"/>
        </w:rPr>
      </w:pPr>
    </w:p>
    <w:p w:rsidR="00FB6454" w:rsidRDefault="00FB6454" w:rsidP="000211E1">
      <w:pPr>
        <w:rPr>
          <w:rFonts w:ascii="Times New Roman" w:hAnsi="Times New Roman" w:cs="Times New Roman"/>
          <w:sz w:val="24"/>
          <w:szCs w:val="24"/>
        </w:rPr>
      </w:pPr>
    </w:p>
    <w:p w:rsidR="00FB6454" w:rsidRDefault="00FB6454" w:rsidP="000211E1">
      <w:pPr>
        <w:rPr>
          <w:rFonts w:ascii="Times New Roman" w:hAnsi="Times New Roman" w:cs="Times New Roman"/>
          <w:sz w:val="24"/>
          <w:szCs w:val="24"/>
        </w:rPr>
      </w:pPr>
    </w:p>
    <w:p w:rsidR="00FB6454" w:rsidRDefault="00FB6454" w:rsidP="000211E1">
      <w:pPr>
        <w:rPr>
          <w:rFonts w:ascii="Times New Roman" w:hAnsi="Times New Roman" w:cs="Times New Roman"/>
          <w:sz w:val="24"/>
          <w:szCs w:val="24"/>
        </w:rPr>
      </w:pPr>
    </w:p>
    <w:p w:rsidR="00FB6454" w:rsidRDefault="00FB6454" w:rsidP="000211E1">
      <w:pPr>
        <w:rPr>
          <w:rFonts w:ascii="Times New Roman" w:hAnsi="Times New Roman" w:cs="Times New Roman"/>
          <w:sz w:val="24"/>
          <w:szCs w:val="24"/>
        </w:rPr>
      </w:pPr>
    </w:p>
    <w:p w:rsidR="00FB6454" w:rsidRDefault="00FB6454" w:rsidP="000211E1">
      <w:pPr>
        <w:rPr>
          <w:rFonts w:ascii="Times New Roman" w:hAnsi="Times New Roman" w:cs="Times New Roman"/>
          <w:sz w:val="24"/>
          <w:szCs w:val="24"/>
        </w:rPr>
      </w:pPr>
    </w:p>
    <w:p w:rsidR="00FB6454" w:rsidRDefault="00FB6454" w:rsidP="000211E1">
      <w:pPr>
        <w:rPr>
          <w:rFonts w:ascii="Times New Roman" w:hAnsi="Times New Roman" w:cs="Times New Roman"/>
          <w:sz w:val="24"/>
          <w:szCs w:val="24"/>
        </w:rPr>
      </w:pPr>
    </w:p>
    <w:p w:rsidR="00FB6454" w:rsidRDefault="00FB6454" w:rsidP="000211E1">
      <w:pPr>
        <w:rPr>
          <w:rFonts w:ascii="Times New Roman" w:hAnsi="Times New Roman" w:cs="Times New Roman"/>
          <w:sz w:val="24"/>
          <w:szCs w:val="24"/>
        </w:rPr>
      </w:pPr>
    </w:p>
    <w:p w:rsidR="00FB6454" w:rsidRDefault="00FB6454" w:rsidP="000211E1">
      <w:pPr>
        <w:rPr>
          <w:rFonts w:ascii="Times New Roman" w:hAnsi="Times New Roman" w:cs="Times New Roman"/>
          <w:sz w:val="24"/>
          <w:szCs w:val="24"/>
        </w:rPr>
      </w:pPr>
    </w:p>
    <w:p w:rsidR="00FB6454" w:rsidRDefault="00FB6454" w:rsidP="000211E1">
      <w:pPr>
        <w:rPr>
          <w:rFonts w:ascii="Times New Roman" w:hAnsi="Times New Roman" w:cs="Times New Roman"/>
          <w:sz w:val="24"/>
          <w:szCs w:val="24"/>
        </w:rPr>
      </w:pPr>
    </w:p>
    <w:p w:rsidR="00FB6454" w:rsidRDefault="00FB6454" w:rsidP="000211E1">
      <w:pPr>
        <w:rPr>
          <w:rFonts w:ascii="Times New Roman" w:hAnsi="Times New Roman" w:cs="Times New Roman"/>
          <w:sz w:val="24"/>
          <w:szCs w:val="24"/>
        </w:rPr>
      </w:pPr>
    </w:p>
    <w:p w:rsidR="00FB6454" w:rsidRDefault="00FB6454" w:rsidP="000211E1">
      <w:pPr>
        <w:rPr>
          <w:rFonts w:ascii="Times New Roman" w:hAnsi="Times New Roman" w:cs="Times New Roman"/>
          <w:sz w:val="24"/>
          <w:szCs w:val="24"/>
        </w:rPr>
      </w:pPr>
    </w:p>
    <w:p w:rsidR="00FB6454" w:rsidRDefault="00FB6454" w:rsidP="000211E1">
      <w:pPr>
        <w:rPr>
          <w:rFonts w:ascii="Times New Roman" w:hAnsi="Times New Roman" w:cs="Times New Roman"/>
          <w:b/>
          <w:sz w:val="24"/>
          <w:szCs w:val="24"/>
        </w:rPr>
      </w:pPr>
      <w:r w:rsidRPr="00FB6454">
        <w:rPr>
          <w:rFonts w:ascii="Times New Roman" w:hAnsi="Times New Roman" w:cs="Times New Roman"/>
          <w:b/>
          <w:sz w:val="24"/>
          <w:szCs w:val="24"/>
        </w:rPr>
        <w:t>CLOSURE OF THE BURIAL GROUND:</w:t>
      </w:r>
    </w:p>
    <w:p w:rsidR="00FB6454" w:rsidRDefault="00431A70" w:rsidP="000211E1">
      <w:pPr>
        <w:rPr>
          <w:rFonts w:ascii="Times New Roman" w:hAnsi="Times New Roman" w:cs="Times New Roman"/>
          <w:sz w:val="24"/>
          <w:szCs w:val="24"/>
        </w:rPr>
      </w:pPr>
      <w:r>
        <w:rPr>
          <w:rFonts w:ascii="Times New Roman" w:hAnsi="Times New Roman" w:cs="Times New Roman"/>
          <w:sz w:val="24"/>
          <w:szCs w:val="24"/>
        </w:rPr>
        <w:t>By the early 1890s the Board of Guardians were reporting drainage problems on the burial ground.  When dug, graves would rapidly fill with water and coffins had to be weighted in order to sink them!</w:t>
      </w:r>
      <w:r w:rsidR="00446351">
        <w:rPr>
          <w:rFonts w:ascii="Times New Roman" w:hAnsi="Times New Roman" w:cs="Times New Roman"/>
          <w:sz w:val="24"/>
          <w:szCs w:val="24"/>
        </w:rPr>
        <w:t xml:space="preserve">  The local newspaper recorded that at a meeting of the Board of </w:t>
      </w:r>
      <w:proofErr w:type="spellStart"/>
      <w:r w:rsidR="00446351">
        <w:rPr>
          <w:rFonts w:ascii="Times New Roman" w:hAnsi="Times New Roman" w:cs="Times New Roman"/>
          <w:sz w:val="24"/>
          <w:szCs w:val="24"/>
        </w:rPr>
        <w:t>Gaurdians</w:t>
      </w:r>
      <w:proofErr w:type="spellEnd"/>
      <w:r w:rsidR="00446351">
        <w:rPr>
          <w:rFonts w:ascii="Times New Roman" w:hAnsi="Times New Roman" w:cs="Times New Roman"/>
          <w:sz w:val="24"/>
          <w:szCs w:val="24"/>
        </w:rPr>
        <w:t xml:space="preserve"> in 1893 it was reported that “ . . . </w:t>
      </w:r>
      <w:r w:rsidR="00446351">
        <w:rPr>
          <w:rFonts w:ascii="Times New Roman" w:hAnsi="Times New Roman" w:cs="Times New Roman"/>
          <w:i/>
          <w:sz w:val="24"/>
          <w:szCs w:val="24"/>
        </w:rPr>
        <w:t>attention was drawn to the fact that the Burial Ground</w:t>
      </w:r>
      <w:r w:rsidR="000435F2">
        <w:rPr>
          <w:rFonts w:ascii="Times New Roman" w:hAnsi="Times New Roman" w:cs="Times New Roman"/>
          <w:i/>
          <w:sz w:val="24"/>
          <w:szCs w:val="24"/>
        </w:rPr>
        <w:t xml:space="preserve"> at the Workhouse could not be used for more than about twelve months </w:t>
      </w:r>
      <w:proofErr w:type="spellStart"/>
      <w:r w:rsidR="000435F2">
        <w:rPr>
          <w:rFonts w:ascii="Times New Roman" w:hAnsi="Times New Roman" w:cs="Times New Roman"/>
          <w:i/>
          <w:sz w:val="24"/>
          <w:szCs w:val="24"/>
        </w:rPr>
        <w:t>lomger</w:t>
      </w:r>
      <w:proofErr w:type="spellEnd"/>
      <w:r w:rsidR="000435F2">
        <w:rPr>
          <w:rFonts w:ascii="Times New Roman" w:hAnsi="Times New Roman" w:cs="Times New Roman"/>
          <w:i/>
          <w:sz w:val="24"/>
          <w:szCs w:val="24"/>
        </w:rPr>
        <w:t>. There were springs in the ground which penetrated into newly dug graves and filled then quite a third full of water of a most offensive nature.  After some desultory conversation the subject was dropped for the present.”</w:t>
      </w:r>
      <w:r>
        <w:rPr>
          <w:rStyle w:val="FootnoteReference"/>
          <w:rFonts w:ascii="Times New Roman" w:hAnsi="Times New Roman" w:cs="Times New Roman"/>
          <w:sz w:val="24"/>
          <w:szCs w:val="24"/>
        </w:rPr>
        <w:footnoteReference w:id="9"/>
      </w:r>
    </w:p>
    <w:p w:rsidR="00431A70" w:rsidRDefault="00431A70" w:rsidP="000211E1">
      <w:pPr>
        <w:rPr>
          <w:rFonts w:ascii="Times New Roman" w:hAnsi="Times New Roman" w:cs="Times New Roman"/>
          <w:i/>
          <w:sz w:val="24"/>
          <w:szCs w:val="24"/>
        </w:rPr>
      </w:pPr>
      <w:r>
        <w:rPr>
          <w:rFonts w:ascii="Times New Roman" w:hAnsi="Times New Roman" w:cs="Times New Roman"/>
          <w:sz w:val="24"/>
          <w:szCs w:val="24"/>
        </w:rPr>
        <w:t xml:space="preserve">At a </w:t>
      </w:r>
      <w:r w:rsidR="006040CD">
        <w:rPr>
          <w:rFonts w:ascii="Times New Roman" w:hAnsi="Times New Roman" w:cs="Times New Roman"/>
          <w:sz w:val="24"/>
          <w:szCs w:val="24"/>
        </w:rPr>
        <w:t xml:space="preserve">Board </w:t>
      </w:r>
      <w:r>
        <w:rPr>
          <w:rFonts w:ascii="Times New Roman" w:hAnsi="Times New Roman" w:cs="Times New Roman"/>
          <w:sz w:val="24"/>
          <w:szCs w:val="24"/>
        </w:rPr>
        <w:t>meeting held on 16 January 1895 the Guardians resolved that “</w:t>
      </w:r>
      <w:r>
        <w:rPr>
          <w:rFonts w:ascii="Times New Roman" w:hAnsi="Times New Roman" w:cs="Times New Roman"/>
          <w:i/>
          <w:sz w:val="24"/>
          <w:szCs w:val="24"/>
        </w:rPr>
        <w:t xml:space="preserve">. . . a hole be dug </w:t>
      </w:r>
      <w:r w:rsidR="006040CD">
        <w:rPr>
          <w:rFonts w:ascii="Times New Roman" w:hAnsi="Times New Roman" w:cs="Times New Roman"/>
          <w:i/>
          <w:sz w:val="24"/>
          <w:szCs w:val="24"/>
        </w:rPr>
        <w:t xml:space="preserve">in the low part of the grave yard . . . and that the same be reported upon at the next Board.” </w:t>
      </w:r>
      <w:r w:rsidR="006040CD">
        <w:rPr>
          <w:rFonts w:ascii="Times New Roman" w:hAnsi="Times New Roman" w:cs="Times New Roman"/>
          <w:sz w:val="24"/>
          <w:szCs w:val="24"/>
        </w:rPr>
        <w:t xml:space="preserve">Adding that </w:t>
      </w:r>
      <w:r w:rsidR="006040CD">
        <w:rPr>
          <w:rFonts w:ascii="Times New Roman" w:hAnsi="Times New Roman" w:cs="Times New Roman"/>
          <w:i/>
          <w:sz w:val="24"/>
          <w:szCs w:val="24"/>
        </w:rPr>
        <w:t>“ . . . The drainage of the upper part of the grave yard the Committee consider to be impracticable.”</w:t>
      </w:r>
      <w:r w:rsidR="006040CD">
        <w:rPr>
          <w:rStyle w:val="FootnoteReference"/>
          <w:rFonts w:ascii="Times New Roman" w:hAnsi="Times New Roman" w:cs="Times New Roman"/>
          <w:i/>
          <w:sz w:val="24"/>
          <w:szCs w:val="24"/>
        </w:rPr>
        <w:footnoteReference w:id="10"/>
      </w:r>
    </w:p>
    <w:p w:rsidR="006040CD" w:rsidRDefault="006040CD" w:rsidP="000211E1">
      <w:pPr>
        <w:rPr>
          <w:rFonts w:ascii="Times New Roman" w:hAnsi="Times New Roman" w:cs="Times New Roman"/>
          <w:i/>
          <w:sz w:val="24"/>
          <w:szCs w:val="24"/>
        </w:rPr>
      </w:pPr>
      <w:r>
        <w:rPr>
          <w:rFonts w:ascii="Times New Roman" w:hAnsi="Times New Roman" w:cs="Times New Roman"/>
          <w:sz w:val="24"/>
          <w:szCs w:val="24"/>
        </w:rPr>
        <w:lastRenderedPageBreak/>
        <w:t>At the Board Meeting held on 3 September that same year the Land Management Committee of the Board resolved that “</w:t>
      </w:r>
      <w:r>
        <w:rPr>
          <w:rFonts w:ascii="Times New Roman" w:hAnsi="Times New Roman" w:cs="Times New Roman"/>
          <w:i/>
          <w:sz w:val="24"/>
          <w:szCs w:val="24"/>
        </w:rPr>
        <w:t>. . . The field at the back to be drained and part of it added to the burial ground . . .”</w:t>
      </w:r>
      <w:r>
        <w:rPr>
          <w:rStyle w:val="FootnoteReference"/>
          <w:rFonts w:ascii="Times New Roman" w:hAnsi="Times New Roman" w:cs="Times New Roman"/>
          <w:i/>
          <w:sz w:val="24"/>
          <w:szCs w:val="24"/>
        </w:rPr>
        <w:footnoteReference w:id="11"/>
      </w:r>
    </w:p>
    <w:p w:rsidR="006040CD" w:rsidRDefault="006040CD" w:rsidP="000211E1">
      <w:pPr>
        <w:rPr>
          <w:rFonts w:ascii="Times New Roman" w:hAnsi="Times New Roman" w:cs="Times New Roman"/>
          <w:i/>
          <w:sz w:val="24"/>
          <w:szCs w:val="24"/>
        </w:rPr>
      </w:pPr>
      <w:r>
        <w:rPr>
          <w:rFonts w:ascii="Times New Roman" w:hAnsi="Times New Roman" w:cs="Times New Roman"/>
          <w:sz w:val="24"/>
          <w:szCs w:val="24"/>
        </w:rPr>
        <w:t>The Minute Book remains</w:t>
      </w:r>
      <w:r w:rsidR="009757BB">
        <w:rPr>
          <w:rFonts w:ascii="Times New Roman" w:hAnsi="Times New Roman" w:cs="Times New Roman"/>
          <w:sz w:val="24"/>
          <w:szCs w:val="24"/>
        </w:rPr>
        <w:t xml:space="preserve"> silent on this matter until a m</w:t>
      </w:r>
      <w:r>
        <w:rPr>
          <w:rFonts w:ascii="Times New Roman" w:hAnsi="Times New Roman" w:cs="Times New Roman"/>
          <w:sz w:val="24"/>
          <w:szCs w:val="24"/>
        </w:rPr>
        <w:t xml:space="preserve">eeting of The general Purposes Committee of the Board of Guardians on 24 February 1898 that </w:t>
      </w:r>
      <w:r>
        <w:rPr>
          <w:rFonts w:ascii="Times New Roman" w:hAnsi="Times New Roman" w:cs="Times New Roman"/>
          <w:i/>
          <w:sz w:val="24"/>
          <w:szCs w:val="24"/>
        </w:rPr>
        <w:t xml:space="preserve">“ . . . </w:t>
      </w:r>
      <w:r w:rsidR="009757BB">
        <w:rPr>
          <w:rFonts w:ascii="Times New Roman" w:hAnsi="Times New Roman" w:cs="Times New Roman"/>
          <w:i/>
          <w:sz w:val="24"/>
          <w:szCs w:val="24"/>
        </w:rPr>
        <w:t>the committee recommend that application be made to the Local Government Board</w:t>
      </w:r>
      <w:r w:rsidR="009757BB">
        <w:rPr>
          <w:rStyle w:val="FootnoteReference"/>
          <w:rFonts w:ascii="Times New Roman" w:hAnsi="Times New Roman" w:cs="Times New Roman"/>
          <w:i/>
          <w:sz w:val="24"/>
          <w:szCs w:val="24"/>
        </w:rPr>
        <w:footnoteReference w:id="12"/>
      </w:r>
      <w:r w:rsidR="009757BB">
        <w:rPr>
          <w:rFonts w:ascii="Times New Roman" w:hAnsi="Times New Roman" w:cs="Times New Roman"/>
          <w:i/>
          <w:sz w:val="24"/>
          <w:szCs w:val="24"/>
        </w:rPr>
        <w:t>to extend the Burial Ground to the east of the present one and to enclosed about ¾ of an acre.”</w:t>
      </w:r>
      <w:r w:rsidR="009757BB">
        <w:rPr>
          <w:rStyle w:val="FootnoteReference"/>
          <w:rFonts w:ascii="Times New Roman" w:hAnsi="Times New Roman" w:cs="Times New Roman"/>
          <w:i/>
          <w:sz w:val="24"/>
          <w:szCs w:val="24"/>
        </w:rPr>
        <w:footnoteReference w:id="13"/>
      </w:r>
    </w:p>
    <w:p w:rsidR="009757BB" w:rsidRPr="00B046A2" w:rsidRDefault="009757BB" w:rsidP="000211E1">
      <w:pPr>
        <w:rPr>
          <w:rFonts w:ascii="Times New Roman" w:hAnsi="Times New Roman" w:cs="Times New Roman"/>
          <w:i/>
          <w:sz w:val="24"/>
          <w:szCs w:val="24"/>
        </w:rPr>
      </w:pPr>
      <w:r>
        <w:rPr>
          <w:rFonts w:ascii="Times New Roman" w:hAnsi="Times New Roman" w:cs="Times New Roman"/>
          <w:sz w:val="24"/>
          <w:szCs w:val="24"/>
        </w:rPr>
        <w:t xml:space="preserve">The Local Government Board responded promptly and it was </w:t>
      </w:r>
      <w:proofErr w:type="spellStart"/>
      <w:r>
        <w:rPr>
          <w:rFonts w:ascii="Times New Roman" w:hAnsi="Times New Roman" w:cs="Times New Roman"/>
          <w:sz w:val="24"/>
          <w:szCs w:val="24"/>
        </w:rPr>
        <w:t>minuted</w:t>
      </w:r>
      <w:proofErr w:type="spellEnd"/>
      <w:r>
        <w:rPr>
          <w:rFonts w:ascii="Times New Roman" w:hAnsi="Times New Roman" w:cs="Times New Roman"/>
          <w:sz w:val="24"/>
          <w:szCs w:val="24"/>
        </w:rPr>
        <w:t xml:space="preserve"> on 21 March 1898 </w:t>
      </w:r>
      <w:r w:rsidR="00B775FB">
        <w:rPr>
          <w:rFonts w:ascii="Times New Roman" w:hAnsi="Times New Roman" w:cs="Times New Roman"/>
          <w:sz w:val="24"/>
          <w:szCs w:val="24"/>
        </w:rPr>
        <w:t xml:space="preserve">that they (the LGB) </w:t>
      </w:r>
      <w:r w:rsidR="00B775FB">
        <w:rPr>
          <w:rFonts w:ascii="Times New Roman" w:hAnsi="Times New Roman" w:cs="Times New Roman"/>
          <w:i/>
          <w:sz w:val="24"/>
          <w:szCs w:val="24"/>
        </w:rPr>
        <w:t>“ . . . could not assent to the proposal of the Guardians to extend the present burial ground at the Workhouse.”</w:t>
      </w:r>
      <w:r w:rsidR="00B775FB">
        <w:rPr>
          <w:rStyle w:val="FootnoteReference"/>
          <w:rFonts w:ascii="Times New Roman" w:hAnsi="Times New Roman" w:cs="Times New Roman"/>
          <w:i/>
          <w:sz w:val="24"/>
          <w:szCs w:val="24"/>
        </w:rPr>
        <w:footnoteReference w:id="14"/>
      </w:r>
      <w:r w:rsidR="00B775FB">
        <w:rPr>
          <w:rFonts w:ascii="Times New Roman" w:hAnsi="Times New Roman" w:cs="Times New Roman"/>
          <w:i/>
          <w:sz w:val="24"/>
          <w:szCs w:val="24"/>
        </w:rPr>
        <w:t xml:space="preserve"> </w:t>
      </w:r>
      <w:r w:rsidR="00B775FB">
        <w:rPr>
          <w:rFonts w:ascii="Times New Roman" w:hAnsi="Times New Roman" w:cs="Times New Roman"/>
          <w:sz w:val="24"/>
          <w:szCs w:val="24"/>
        </w:rPr>
        <w:t>No reason for their decision is noted.</w:t>
      </w:r>
      <w:r w:rsidR="00B046A2">
        <w:rPr>
          <w:rFonts w:ascii="Times New Roman" w:hAnsi="Times New Roman" w:cs="Times New Roman"/>
          <w:sz w:val="24"/>
          <w:szCs w:val="24"/>
        </w:rPr>
        <w:t xml:space="preserve">  In Consequence of this it was resolved that three Lowestoft undertakers be requested to give a price for </w:t>
      </w:r>
      <w:r w:rsidR="00B046A2">
        <w:rPr>
          <w:rFonts w:ascii="Times New Roman" w:hAnsi="Times New Roman" w:cs="Times New Roman"/>
          <w:i/>
          <w:sz w:val="24"/>
          <w:szCs w:val="24"/>
        </w:rPr>
        <w:t>“ . . . the conveyance, by a one horse hearse, of the bodies of persons dying in the Workhouse to their respective parishes.”</w:t>
      </w:r>
    </w:p>
    <w:p w:rsidR="00B046A2" w:rsidRDefault="00B775FB" w:rsidP="000211E1">
      <w:pPr>
        <w:rPr>
          <w:rFonts w:ascii="Times New Roman" w:hAnsi="Times New Roman" w:cs="Times New Roman"/>
          <w:sz w:val="24"/>
          <w:szCs w:val="24"/>
        </w:rPr>
      </w:pPr>
      <w:r>
        <w:rPr>
          <w:rFonts w:ascii="Times New Roman" w:hAnsi="Times New Roman" w:cs="Times New Roman"/>
          <w:sz w:val="24"/>
          <w:szCs w:val="24"/>
        </w:rPr>
        <w:t>Although not stated, it is obvious that the workhouse burial ground was either full or untenable  and at a meeting of the Board of Guardians</w:t>
      </w:r>
      <w:r w:rsidR="00B046A2">
        <w:rPr>
          <w:rFonts w:ascii="Times New Roman" w:hAnsi="Times New Roman" w:cs="Times New Roman"/>
          <w:sz w:val="24"/>
          <w:szCs w:val="24"/>
        </w:rPr>
        <w:t xml:space="preserve"> were looking for alternative means of burying the workhouse dead.</w:t>
      </w:r>
    </w:p>
    <w:p w:rsidR="00B775FB" w:rsidRDefault="005E6B3D" w:rsidP="000211E1">
      <w:pPr>
        <w:rPr>
          <w:rFonts w:ascii="Times New Roman" w:hAnsi="Times New Roman" w:cs="Times New Roman"/>
          <w:i/>
          <w:sz w:val="24"/>
          <w:szCs w:val="24"/>
        </w:rPr>
      </w:pPr>
      <w:r>
        <w:rPr>
          <w:rFonts w:ascii="Times New Roman" w:hAnsi="Times New Roman" w:cs="Times New Roman"/>
          <w:sz w:val="24"/>
          <w:szCs w:val="24"/>
        </w:rPr>
        <w:t>Nothing seems to have resulted from the above resolution, and</w:t>
      </w:r>
      <w:r w:rsidR="00B775FB">
        <w:rPr>
          <w:rFonts w:ascii="Times New Roman" w:hAnsi="Times New Roman" w:cs="Times New Roman"/>
          <w:sz w:val="24"/>
          <w:szCs w:val="24"/>
        </w:rPr>
        <w:t xml:space="preserve"> on 6 June 1898 it was resolved</w:t>
      </w:r>
      <w:r>
        <w:rPr>
          <w:rFonts w:ascii="Times New Roman" w:hAnsi="Times New Roman" w:cs="Times New Roman"/>
          <w:sz w:val="24"/>
          <w:szCs w:val="24"/>
        </w:rPr>
        <w:t xml:space="preserve"> </w:t>
      </w:r>
      <w:r w:rsidR="00B775FB">
        <w:rPr>
          <w:rFonts w:ascii="Times New Roman" w:hAnsi="Times New Roman" w:cs="Times New Roman"/>
          <w:sz w:val="24"/>
          <w:szCs w:val="24"/>
        </w:rPr>
        <w:t xml:space="preserve"> that </w:t>
      </w:r>
      <w:r w:rsidR="00B775FB">
        <w:rPr>
          <w:rFonts w:ascii="Times New Roman" w:hAnsi="Times New Roman" w:cs="Times New Roman"/>
          <w:i/>
          <w:sz w:val="24"/>
          <w:szCs w:val="24"/>
        </w:rPr>
        <w:t xml:space="preserve">“. . . the </w:t>
      </w:r>
      <w:r>
        <w:rPr>
          <w:rFonts w:ascii="Times New Roman" w:hAnsi="Times New Roman" w:cs="Times New Roman"/>
          <w:sz w:val="24"/>
          <w:szCs w:val="24"/>
        </w:rPr>
        <w:t xml:space="preserve">[General Purposes] </w:t>
      </w:r>
      <w:r w:rsidR="002666C6">
        <w:rPr>
          <w:rFonts w:ascii="Times New Roman" w:hAnsi="Times New Roman" w:cs="Times New Roman"/>
          <w:i/>
          <w:sz w:val="24"/>
          <w:szCs w:val="24"/>
        </w:rPr>
        <w:t>committee see the Rev. M</w:t>
      </w:r>
      <w:r w:rsidR="00B775FB">
        <w:rPr>
          <w:rFonts w:ascii="Times New Roman" w:hAnsi="Times New Roman" w:cs="Times New Roman"/>
          <w:i/>
          <w:sz w:val="24"/>
          <w:szCs w:val="24"/>
        </w:rPr>
        <w:t>. Kearney the Rector of Oulton and make enquiries as to fee</w:t>
      </w:r>
      <w:r w:rsidR="00B046A2">
        <w:rPr>
          <w:rFonts w:ascii="Times New Roman" w:hAnsi="Times New Roman" w:cs="Times New Roman"/>
          <w:i/>
          <w:sz w:val="24"/>
          <w:szCs w:val="24"/>
        </w:rPr>
        <w:t>s</w:t>
      </w:r>
      <w:r w:rsidR="00B775FB">
        <w:rPr>
          <w:rFonts w:ascii="Times New Roman" w:hAnsi="Times New Roman" w:cs="Times New Roman"/>
          <w:i/>
          <w:sz w:val="24"/>
          <w:szCs w:val="24"/>
        </w:rPr>
        <w:t xml:space="preserve"> for bur</w:t>
      </w:r>
      <w:r w:rsidR="00B046A2">
        <w:rPr>
          <w:rFonts w:ascii="Times New Roman" w:hAnsi="Times New Roman" w:cs="Times New Roman"/>
          <w:i/>
          <w:sz w:val="24"/>
          <w:szCs w:val="24"/>
        </w:rPr>
        <w:t>ial of paupers in Oulton Churchyard.</w:t>
      </w:r>
      <w:r w:rsidR="00B046A2">
        <w:rPr>
          <w:rStyle w:val="FootnoteReference"/>
          <w:rFonts w:ascii="Times New Roman" w:hAnsi="Times New Roman" w:cs="Times New Roman"/>
          <w:i/>
          <w:sz w:val="24"/>
          <w:szCs w:val="24"/>
        </w:rPr>
        <w:footnoteReference w:id="15"/>
      </w:r>
    </w:p>
    <w:p w:rsidR="005E6B3D" w:rsidRDefault="005E6B3D" w:rsidP="000211E1">
      <w:pPr>
        <w:rPr>
          <w:rFonts w:ascii="Times New Roman" w:hAnsi="Times New Roman" w:cs="Times New Roman"/>
          <w:sz w:val="24"/>
          <w:szCs w:val="24"/>
        </w:rPr>
      </w:pPr>
      <w:r>
        <w:rPr>
          <w:rFonts w:ascii="Times New Roman" w:hAnsi="Times New Roman" w:cs="Times New Roman"/>
          <w:sz w:val="24"/>
          <w:szCs w:val="24"/>
        </w:rPr>
        <w:t xml:space="preserve">A sub-committee was appointed for this task and on 20 June 1898 they reported that they had seen the Rev. Kearney  who stated that </w:t>
      </w:r>
      <w:r>
        <w:rPr>
          <w:rFonts w:ascii="Times New Roman" w:hAnsi="Times New Roman" w:cs="Times New Roman"/>
          <w:i/>
          <w:sz w:val="24"/>
          <w:szCs w:val="24"/>
        </w:rPr>
        <w:t xml:space="preserve">“. . . there was plenty of room in Oulton Churchyard, and that the charges for </w:t>
      </w:r>
      <w:r>
        <w:rPr>
          <w:rFonts w:ascii="Times New Roman" w:hAnsi="Times New Roman" w:cs="Times New Roman"/>
          <w:sz w:val="24"/>
          <w:szCs w:val="24"/>
        </w:rPr>
        <w:t xml:space="preserve">[the burial] </w:t>
      </w:r>
      <w:r>
        <w:rPr>
          <w:rFonts w:ascii="Times New Roman" w:hAnsi="Times New Roman" w:cs="Times New Roman"/>
          <w:i/>
          <w:sz w:val="24"/>
          <w:szCs w:val="24"/>
        </w:rPr>
        <w:t xml:space="preserve">of adults would amount to 8s. 6d. ad for children 6 shillings. </w:t>
      </w:r>
      <w:r>
        <w:rPr>
          <w:rFonts w:ascii="Times New Roman" w:hAnsi="Times New Roman" w:cs="Times New Roman"/>
          <w:sz w:val="24"/>
          <w:szCs w:val="24"/>
        </w:rPr>
        <w:t>It was resolved that the Committee  recommend these terms to the Board Of Guardians</w:t>
      </w:r>
      <w:r>
        <w:rPr>
          <w:rStyle w:val="FootnoteReference"/>
          <w:rFonts w:ascii="Times New Roman" w:hAnsi="Times New Roman" w:cs="Times New Roman"/>
          <w:sz w:val="24"/>
          <w:szCs w:val="24"/>
        </w:rPr>
        <w:footnoteReference w:id="16"/>
      </w:r>
      <w:r>
        <w:rPr>
          <w:rFonts w:ascii="Times New Roman" w:hAnsi="Times New Roman" w:cs="Times New Roman"/>
          <w:sz w:val="24"/>
          <w:szCs w:val="24"/>
        </w:rPr>
        <w:t>.</w:t>
      </w:r>
    </w:p>
    <w:p w:rsidR="005E6B3D" w:rsidRDefault="005E6B3D" w:rsidP="000211E1">
      <w:pPr>
        <w:rPr>
          <w:rFonts w:ascii="Times New Roman" w:hAnsi="Times New Roman" w:cs="Times New Roman"/>
          <w:sz w:val="24"/>
          <w:szCs w:val="24"/>
        </w:rPr>
      </w:pPr>
      <w:r>
        <w:rPr>
          <w:rFonts w:ascii="Times New Roman" w:hAnsi="Times New Roman" w:cs="Times New Roman"/>
          <w:sz w:val="24"/>
          <w:szCs w:val="24"/>
        </w:rPr>
        <w:t>From henceforth the Minute Books remain silent on the matter and it would appear that the Board of Guardians accepted the Committees recommendations and the old workhouse burial ground ceased to be used.  The last person to be buried there</w:t>
      </w:r>
      <w:r w:rsidR="00972E67">
        <w:rPr>
          <w:rFonts w:ascii="Times New Roman" w:hAnsi="Times New Roman" w:cs="Times New Roman"/>
          <w:sz w:val="24"/>
          <w:szCs w:val="24"/>
        </w:rPr>
        <w:t xml:space="preserve"> was Jacob Crane of Burgh Castle aged 61 years.  His funeral took place on 5 February 1899.</w:t>
      </w:r>
    </w:p>
    <w:p w:rsidR="00972E67" w:rsidRDefault="00972E67" w:rsidP="000211E1">
      <w:pPr>
        <w:rPr>
          <w:rFonts w:ascii="Times New Roman" w:hAnsi="Times New Roman" w:cs="Times New Roman"/>
          <w:sz w:val="24"/>
          <w:szCs w:val="24"/>
        </w:rPr>
      </w:pPr>
      <w:r>
        <w:rPr>
          <w:rFonts w:ascii="Times New Roman" w:hAnsi="Times New Roman" w:cs="Times New Roman"/>
          <w:sz w:val="24"/>
          <w:szCs w:val="24"/>
        </w:rPr>
        <w:t xml:space="preserve">NB: It should be noted that even if the burial ground was not consecrated every </w:t>
      </w:r>
      <w:r w:rsidR="000435F2">
        <w:rPr>
          <w:rFonts w:ascii="Times New Roman" w:hAnsi="Times New Roman" w:cs="Times New Roman"/>
          <w:sz w:val="24"/>
          <w:szCs w:val="24"/>
        </w:rPr>
        <w:t>person who was buried there was</w:t>
      </w:r>
      <w:r>
        <w:rPr>
          <w:rFonts w:ascii="Times New Roman" w:hAnsi="Times New Roman" w:cs="Times New Roman"/>
          <w:sz w:val="24"/>
          <w:szCs w:val="24"/>
        </w:rPr>
        <w:t xml:space="preserve"> buried with full Ch</w:t>
      </w:r>
      <w:r w:rsidR="000435F2">
        <w:rPr>
          <w:rFonts w:ascii="Times New Roman" w:hAnsi="Times New Roman" w:cs="Times New Roman"/>
          <w:sz w:val="24"/>
          <w:szCs w:val="24"/>
        </w:rPr>
        <w:t>ristian rites by the Workhouse P</w:t>
      </w:r>
      <w:r>
        <w:rPr>
          <w:rFonts w:ascii="Times New Roman" w:hAnsi="Times New Roman" w:cs="Times New Roman"/>
          <w:sz w:val="24"/>
          <w:szCs w:val="24"/>
        </w:rPr>
        <w:t>astor.</w:t>
      </w:r>
    </w:p>
    <w:p w:rsidR="00924C41" w:rsidRDefault="000435F2" w:rsidP="000211E1">
      <w:pPr>
        <w:rPr>
          <w:rFonts w:ascii="Times New Roman" w:hAnsi="Times New Roman" w:cs="Times New Roman"/>
          <w:sz w:val="24"/>
          <w:szCs w:val="24"/>
        </w:rPr>
      </w:pPr>
      <w:r>
        <w:rPr>
          <w:rFonts w:ascii="Times New Roman" w:hAnsi="Times New Roman" w:cs="Times New Roman"/>
          <w:b/>
          <w:sz w:val="24"/>
          <w:szCs w:val="24"/>
        </w:rPr>
        <w:t>The</w:t>
      </w:r>
      <w:r w:rsidR="00924C41" w:rsidRPr="000435F2">
        <w:rPr>
          <w:rFonts w:ascii="Times New Roman" w:hAnsi="Times New Roman" w:cs="Times New Roman"/>
          <w:b/>
          <w:sz w:val="24"/>
          <w:szCs w:val="24"/>
        </w:rPr>
        <w:t xml:space="preserve"> appendix on the following pages contain maps of more recent date showing the site of the burial ground</w:t>
      </w:r>
      <w:r w:rsidR="00924C41">
        <w:rPr>
          <w:rFonts w:ascii="Times New Roman" w:hAnsi="Times New Roman" w:cs="Times New Roman"/>
          <w:sz w:val="24"/>
          <w:szCs w:val="24"/>
        </w:rPr>
        <w:t>.</w:t>
      </w:r>
    </w:p>
    <w:p w:rsidR="00924C41" w:rsidRDefault="004D4EC4" w:rsidP="000211E1">
      <w:pP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anchor distT="0" distB="0" distL="114300" distR="114300" simplePos="0" relativeHeight="251661312" behindDoc="0" locked="0" layoutInCell="1" allowOverlap="1">
            <wp:simplePos x="0" y="0"/>
            <wp:positionH relativeFrom="margin">
              <wp:align>center</wp:align>
            </wp:positionH>
            <wp:positionV relativeFrom="margin">
              <wp:posOffset>-41275</wp:posOffset>
            </wp:positionV>
            <wp:extent cx="4326890" cy="4243070"/>
            <wp:effectExtent l="19050" t="0" r="0" b="0"/>
            <wp:wrapSquare wrapText="bothSides"/>
            <wp:docPr id="6" name="Picture 5" descr="1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7.png"/>
                    <pic:cNvPicPr/>
                  </pic:nvPicPr>
                  <pic:blipFill>
                    <a:blip r:embed="rId12" cstate="print"/>
                    <a:stretch>
                      <a:fillRect/>
                    </a:stretch>
                  </pic:blipFill>
                  <pic:spPr>
                    <a:xfrm>
                      <a:off x="0" y="0"/>
                      <a:ext cx="4326890" cy="4243070"/>
                    </a:xfrm>
                    <a:prstGeom prst="rect">
                      <a:avLst/>
                    </a:prstGeom>
                  </pic:spPr>
                </pic:pic>
              </a:graphicData>
            </a:graphic>
          </wp:anchor>
        </w:drawing>
      </w:r>
    </w:p>
    <w:p w:rsidR="00924C41" w:rsidRDefault="00924C41" w:rsidP="000211E1">
      <w:pPr>
        <w:rPr>
          <w:rFonts w:ascii="Times New Roman" w:hAnsi="Times New Roman" w:cs="Times New Roman"/>
          <w:sz w:val="24"/>
          <w:szCs w:val="24"/>
        </w:rPr>
      </w:pPr>
    </w:p>
    <w:p w:rsidR="00924C41" w:rsidRDefault="00924C41" w:rsidP="000211E1">
      <w:pPr>
        <w:rPr>
          <w:rFonts w:ascii="Times New Roman" w:hAnsi="Times New Roman" w:cs="Times New Roman"/>
          <w:sz w:val="24"/>
          <w:szCs w:val="24"/>
        </w:rPr>
      </w:pPr>
    </w:p>
    <w:p w:rsidR="00924C41" w:rsidRDefault="00924C41" w:rsidP="000211E1">
      <w:pPr>
        <w:rPr>
          <w:rFonts w:ascii="Times New Roman" w:hAnsi="Times New Roman" w:cs="Times New Roman"/>
          <w:sz w:val="24"/>
          <w:szCs w:val="24"/>
        </w:rPr>
      </w:pPr>
    </w:p>
    <w:p w:rsidR="005E6B3D" w:rsidRPr="005E6B3D" w:rsidRDefault="005E6B3D" w:rsidP="000211E1">
      <w:pPr>
        <w:rPr>
          <w:rFonts w:ascii="Times New Roman" w:hAnsi="Times New Roman" w:cs="Times New Roman"/>
          <w:sz w:val="24"/>
          <w:szCs w:val="24"/>
        </w:rPr>
      </w:pPr>
    </w:p>
    <w:p w:rsidR="00B046A2" w:rsidRPr="00B046A2" w:rsidRDefault="00B046A2" w:rsidP="000211E1">
      <w:pPr>
        <w:rPr>
          <w:rFonts w:ascii="Times New Roman" w:hAnsi="Times New Roman" w:cs="Times New Roman"/>
          <w:sz w:val="24"/>
          <w:szCs w:val="24"/>
        </w:rPr>
      </w:pPr>
    </w:p>
    <w:p w:rsidR="00B775FB" w:rsidRDefault="00B775FB" w:rsidP="000211E1">
      <w:pPr>
        <w:rPr>
          <w:rFonts w:ascii="Times New Roman" w:hAnsi="Times New Roman" w:cs="Times New Roman"/>
          <w:sz w:val="24"/>
          <w:szCs w:val="24"/>
        </w:rPr>
      </w:pPr>
    </w:p>
    <w:p w:rsidR="00924C41" w:rsidRDefault="00924C41" w:rsidP="000211E1">
      <w:pPr>
        <w:rPr>
          <w:rFonts w:ascii="Times New Roman" w:hAnsi="Times New Roman" w:cs="Times New Roman"/>
          <w:sz w:val="24"/>
          <w:szCs w:val="24"/>
        </w:rPr>
      </w:pPr>
    </w:p>
    <w:p w:rsidR="00924C41" w:rsidRDefault="00924C41" w:rsidP="000211E1">
      <w:pPr>
        <w:rPr>
          <w:rFonts w:ascii="Times New Roman" w:hAnsi="Times New Roman" w:cs="Times New Roman"/>
          <w:sz w:val="24"/>
          <w:szCs w:val="24"/>
        </w:rPr>
      </w:pPr>
    </w:p>
    <w:p w:rsidR="00924C41" w:rsidRDefault="00924C41" w:rsidP="000211E1">
      <w:pPr>
        <w:rPr>
          <w:rFonts w:ascii="Times New Roman" w:hAnsi="Times New Roman" w:cs="Times New Roman"/>
          <w:sz w:val="24"/>
          <w:szCs w:val="24"/>
        </w:rPr>
      </w:pPr>
    </w:p>
    <w:p w:rsidR="00924C41" w:rsidRDefault="00924C41" w:rsidP="000211E1">
      <w:pPr>
        <w:rPr>
          <w:rFonts w:ascii="Times New Roman" w:hAnsi="Times New Roman" w:cs="Times New Roman"/>
          <w:sz w:val="24"/>
          <w:szCs w:val="24"/>
        </w:rPr>
      </w:pPr>
    </w:p>
    <w:p w:rsidR="00924C41" w:rsidRDefault="00924C41" w:rsidP="000211E1">
      <w:pPr>
        <w:rPr>
          <w:rFonts w:ascii="Times New Roman" w:hAnsi="Times New Roman" w:cs="Times New Roman"/>
          <w:sz w:val="24"/>
          <w:szCs w:val="24"/>
        </w:rPr>
      </w:pPr>
    </w:p>
    <w:p w:rsidR="00924C41" w:rsidRDefault="00924C41" w:rsidP="000211E1">
      <w:pPr>
        <w:rPr>
          <w:rFonts w:ascii="Times New Roman" w:hAnsi="Times New Roman" w:cs="Times New Roman"/>
          <w:sz w:val="24"/>
          <w:szCs w:val="24"/>
        </w:rPr>
      </w:pPr>
    </w:p>
    <w:p w:rsidR="00924C41" w:rsidRDefault="004D4EC4" w:rsidP="000211E1">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2336" behindDoc="0" locked="0" layoutInCell="1" allowOverlap="1">
            <wp:simplePos x="0" y="0"/>
            <wp:positionH relativeFrom="margin">
              <wp:posOffset>727710</wp:posOffset>
            </wp:positionH>
            <wp:positionV relativeFrom="margin">
              <wp:posOffset>4427855</wp:posOffset>
            </wp:positionV>
            <wp:extent cx="4305935" cy="4222115"/>
            <wp:effectExtent l="19050" t="0" r="0" b="0"/>
            <wp:wrapSquare wrapText="bothSides"/>
            <wp:docPr id="7" name="Picture 6" descr="19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9.png"/>
                    <pic:cNvPicPr/>
                  </pic:nvPicPr>
                  <pic:blipFill>
                    <a:blip r:embed="rId13" cstate="print"/>
                    <a:stretch>
                      <a:fillRect/>
                    </a:stretch>
                  </pic:blipFill>
                  <pic:spPr>
                    <a:xfrm>
                      <a:off x="0" y="0"/>
                      <a:ext cx="4305935" cy="4222115"/>
                    </a:xfrm>
                    <a:prstGeom prst="rect">
                      <a:avLst/>
                    </a:prstGeom>
                  </pic:spPr>
                </pic:pic>
              </a:graphicData>
            </a:graphic>
          </wp:anchor>
        </w:drawing>
      </w:r>
    </w:p>
    <w:p w:rsidR="00924C41" w:rsidRDefault="00924C41" w:rsidP="000211E1">
      <w:pPr>
        <w:rPr>
          <w:rFonts w:ascii="Times New Roman" w:hAnsi="Times New Roman" w:cs="Times New Roman"/>
          <w:sz w:val="24"/>
          <w:szCs w:val="24"/>
        </w:rPr>
      </w:pPr>
    </w:p>
    <w:p w:rsidR="00924C41" w:rsidRDefault="00924C41" w:rsidP="000211E1">
      <w:pPr>
        <w:rPr>
          <w:rFonts w:ascii="Times New Roman" w:hAnsi="Times New Roman" w:cs="Times New Roman"/>
          <w:sz w:val="24"/>
          <w:szCs w:val="24"/>
        </w:rPr>
      </w:pPr>
    </w:p>
    <w:p w:rsidR="00924C41" w:rsidRDefault="00924C41" w:rsidP="000211E1">
      <w:pPr>
        <w:rPr>
          <w:rFonts w:ascii="Times New Roman" w:hAnsi="Times New Roman" w:cs="Times New Roman"/>
          <w:sz w:val="24"/>
          <w:szCs w:val="24"/>
        </w:rPr>
      </w:pPr>
    </w:p>
    <w:p w:rsidR="00924C41" w:rsidRDefault="00924C41" w:rsidP="000211E1">
      <w:pPr>
        <w:rPr>
          <w:rFonts w:ascii="Times New Roman" w:hAnsi="Times New Roman" w:cs="Times New Roman"/>
          <w:sz w:val="24"/>
          <w:szCs w:val="24"/>
        </w:rPr>
      </w:pPr>
    </w:p>
    <w:p w:rsidR="00924C41" w:rsidRPr="00B775FB" w:rsidRDefault="00924C41" w:rsidP="000211E1">
      <w:pPr>
        <w:rPr>
          <w:rFonts w:ascii="Times New Roman" w:hAnsi="Times New Roman" w:cs="Times New Roman"/>
          <w:sz w:val="24"/>
          <w:szCs w:val="24"/>
        </w:rPr>
      </w:pPr>
    </w:p>
    <w:p w:rsidR="00B775FB" w:rsidRDefault="00B775FB" w:rsidP="000211E1">
      <w:pPr>
        <w:rPr>
          <w:rFonts w:ascii="Times New Roman" w:hAnsi="Times New Roman" w:cs="Times New Roman"/>
          <w:i/>
          <w:sz w:val="24"/>
          <w:szCs w:val="24"/>
        </w:rPr>
      </w:pPr>
    </w:p>
    <w:p w:rsidR="00924C41" w:rsidRDefault="00924C41" w:rsidP="000211E1">
      <w:pPr>
        <w:rPr>
          <w:rFonts w:ascii="Times New Roman" w:hAnsi="Times New Roman" w:cs="Times New Roman"/>
          <w:i/>
          <w:sz w:val="24"/>
          <w:szCs w:val="24"/>
        </w:rPr>
      </w:pPr>
    </w:p>
    <w:p w:rsidR="00924C41" w:rsidRDefault="00924C41" w:rsidP="000211E1">
      <w:pPr>
        <w:rPr>
          <w:rFonts w:ascii="Times New Roman" w:hAnsi="Times New Roman" w:cs="Times New Roman"/>
          <w:i/>
          <w:sz w:val="24"/>
          <w:szCs w:val="24"/>
        </w:rPr>
      </w:pPr>
    </w:p>
    <w:p w:rsidR="00924C41" w:rsidRDefault="00924C41" w:rsidP="000211E1">
      <w:pPr>
        <w:rPr>
          <w:rFonts w:ascii="Times New Roman" w:hAnsi="Times New Roman" w:cs="Times New Roman"/>
          <w:i/>
          <w:sz w:val="24"/>
          <w:szCs w:val="24"/>
        </w:rPr>
      </w:pPr>
    </w:p>
    <w:p w:rsidR="00924C41" w:rsidRDefault="00924C41" w:rsidP="000211E1">
      <w:pPr>
        <w:rPr>
          <w:rFonts w:ascii="Times New Roman" w:hAnsi="Times New Roman" w:cs="Times New Roman"/>
          <w:i/>
          <w:sz w:val="24"/>
          <w:szCs w:val="24"/>
        </w:rPr>
      </w:pPr>
    </w:p>
    <w:p w:rsidR="00924C41" w:rsidRDefault="00924C41" w:rsidP="000211E1">
      <w:pPr>
        <w:rPr>
          <w:rFonts w:ascii="Times New Roman" w:hAnsi="Times New Roman" w:cs="Times New Roman"/>
          <w:i/>
          <w:sz w:val="24"/>
          <w:szCs w:val="24"/>
        </w:rPr>
      </w:pPr>
    </w:p>
    <w:p w:rsidR="00924C41" w:rsidRDefault="00924C41" w:rsidP="000211E1">
      <w:pPr>
        <w:rPr>
          <w:rFonts w:ascii="Times New Roman" w:hAnsi="Times New Roman" w:cs="Times New Roman"/>
          <w:i/>
          <w:sz w:val="24"/>
          <w:szCs w:val="24"/>
        </w:rPr>
      </w:pPr>
    </w:p>
    <w:p w:rsidR="00924C41" w:rsidRDefault="00924C41" w:rsidP="000211E1">
      <w:pPr>
        <w:rPr>
          <w:rFonts w:ascii="Times New Roman" w:hAnsi="Times New Roman" w:cs="Times New Roman"/>
          <w:i/>
          <w:sz w:val="24"/>
          <w:szCs w:val="24"/>
        </w:rPr>
      </w:pPr>
    </w:p>
    <w:p w:rsidR="00924C41" w:rsidRDefault="00924C41" w:rsidP="000211E1">
      <w:pPr>
        <w:rPr>
          <w:rFonts w:ascii="Times New Roman" w:hAnsi="Times New Roman" w:cs="Times New Roman"/>
          <w:i/>
          <w:sz w:val="24"/>
          <w:szCs w:val="24"/>
        </w:rPr>
      </w:pPr>
    </w:p>
    <w:p w:rsidR="00924C41" w:rsidRDefault="00924C41" w:rsidP="000211E1">
      <w:pPr>
        <w:rPr>
          <w:rFonts w:ascii="Times New Roman" w:hAnsi="Times New Roman" w:cs="Times New Roman"/>
          <w:i/>
          <w:sz w:val="24"/>
          <w:szCs w:val="24"/>
        </w:rPr>
      </w:pPr>
    </w:p>
    <w:p w:rsidR="00924C41" w:rsidRDefault="00924C41" w:rsidP="000211E1">
      <w:pPr>
        <w:rPr>
          <w:rFonts w:ascii="Times New Roman" w:hAnsi="Times New Roman" w:cs="Times New Roman"/>
          <w:i/>
          <w:sz w:val="24"/>
          <w:szCs w:val="24"/>
        </w:rPr>
      </w:pPr>
    </w:p>
    <w:p w:rsidR="002666C6" w:rsidRDefault="002666C6" w:rsidP="000211E1">
      <w:pPr>
        <w:rPr>
          <w:rFonts w:ascii="Times New Roman" w:hAnsi="Times New Roman" w:cs="Times New Roman"/>
          <w:i/>
          <w:sz w:val="24"/>
          <w:szCs w:val="24"/>
        </w:rPr>
      </w:pPr>
    </w:p>
    <w:p w:rsidR="002666C6" w:rsidRDefault="002666C6" w:rsidP="000211E1">
      <w:pPr>
        <w:rPr>
          <w:rFonts w:ascii="Times New Roman" w:hAnsi="Times New Roman" w:cs="Times New Roman"/>
          <w:i/>
          <w:sz w:val="24"/>
          <w:szCs w:val="24"/>
        </w:rPr>
      </w:pPr>
    </w:p>
    <w:p w:rsidR="002666C6" w:rsidRDefault="002666C6" w:rsidP="000211E1">
      <w:pPr>
        <w:rPr>
          <w:rFonts w:ascii="Times New Roman" w:hAnsi="Times New Roman" w:cs="Times New Roman"/>
          <w:i/>
          <w:sz w:val="24"/>
          <w:szCs w:val="24"/>
        </w:rPr>
      </w:pPr>
    </w:p>
    <w:p w:rsidR="002666C6" w:rsidRDefault="002666C6" w:rsidP="000211E1">
      <w:pPr>
        <w:rPr>
          <w:rFonts w:ascii="Times New Roman" w:hAnsi="Times New Roman" w:cs="Times New Roman"/>
          <w:i/>
          <w:sz w:val="24"/>
          <w:szCs w:val="24"/>
        </w:rPr>
      </w:pPr>
    </w:p>
    <w:p w:rsidR="002666C6" w:rsidRDefault="002666C6" w:rsidP="000211E1">
      <w:pPr>
        <w:rPr>
          <w:rFonts w:ascii="Times New Roman" w:hAnsi="Times New Roman" w:cs="Times New Roman"/>
          <w:i/>
          <w:sz w:val="24"/>
          <w:szCs w:val="24"/>
        </w:rPr>
      </w:pPr>
    </w:p>
    <w:p w:rsidR="002666C6" w:rsidRDefault="002666C6" w:rsidP="000211E1">
      <w:pPr>
        <w:rPr>
          <w:rFonts w:ascii="Times New Roman" w:hAnsi="Times New Roman" w:cs="Times New Roman"/>
          <w:i/>
          <w:sz w:val="24"/>
          <w:szCs w:val="24"/>
        </w:rPr>
      </w:pPr>
    </w:p>
    <w:p w:rsidR="002666C6" w:rsidRDefault="002666C6" w:rsidP="000211E1">
      <w:pPr>
        <w:rPr>
          <w:rFonts w:ascii="Times New Roman" w:hAnsi="Times New Roman" w:cs="Times New Roman"/>
          <w:i/>
          <w:sz w:val="24"/>
          <w:szCs w:val="24"/>
        </w:rPr>
      </w:pPr>
    </w:p>
    <w:p w:rsidR="002666C6" w:rsidRDefault="002666C6" w:rsidP="000211E1">
      <w:pPr>
        <w:rPr>
          <w:rFonts w:ascii="Times New Roman" w:hAnsi="Times New Roman" w:cs="Times New Roman"/>
          <w:i/>
          <w:sz w:val="24"/>
          <w:szCs w:val="24"/>
        </w:rPr>
      </w:pPr>
    </w:p>
    <w:p w:rsidR="002666C6" w:rsidRDefault="002666C6" w:rsidP="000211E1">
      <w:pPr>
        <w:rPr>
          <w:rFonts w:ascii="Times New Roman" w:hAnsi="Times New Roman" w:cs="Times New Roman"/>
          <w:i/>
          <w:sz w:val="24"/>
          <w:szCs w:val="24"/>
        </w:rPr>
      </w:pPr>
    </w:p>
    <w:p w:rsidR="002666C6" w:rsidRDefault="002666C6" w:rsidP="000211E1">
      <w:pPr>
        <w:rPr>
          <w:rFonts w:ascii="Times New Roman" w:hAnsi="Times New Roman" w:cs="Times New Roman"/>
          <w:i/>
          <w:sz w:val="24"/>
          <w:szCs w:val="24"/>
        </w:rPr>
      </w:pPr>
    </w:p>
    <w:p w:rsidR="002666C6" w:rsidRDefault="002666C6" w:rsidP="000211E1">
      <w:pPr>
        <w:rPr>
          <w:rFonts w:ascii="Times New Roman" w:hAnsi="Times New Roman" w:cs="Times New Roman"/>
          <w:i/>
          <w:sz w:val="24"/>
          <w:szCs w:val="24"/>
        </w:rPr>
      </w:pPr>
    </w:p>
    <w:p w:rsidR="002666C6" w:rsidRPr="002666C6" w:rsidRDefault="002666C6" w:rsidP="000211E1">
      <w:pPr>
        <w:rPr>
          <w:rFonts w:ascii="Times New Roman" w:hAnsi="Times New Roman" w:cs="Times New Roman"/>
          <w:sz w:val="24"/>
          <w:szCs w:val="24"/>
        </w:rPr>
      </w:pPr>
      <w:r>
        <w:rPr>
          <w:rFonts w:ascii="Times New Roman" w:hAnsi="Times New Roman" w:cs="Times New Roman"/>
          <w:sz w:val="24"/>
          <w:szCs w:val="24"/>
        </w:rPr>
        <w:t>The montage above is an aerial view of the Workhouse site with the exact location of the burial ground superimposed.  Th</w:t>
      </w:r>
      <w:r w:rsidR="000435F2">
        <w:rPr>
          <w:rFonts w:ascii="Times New Roman" w:hAnsi="Times New Roman" w:cs="Times New Roman"/>
          <w:sz w:val="24"/>
          <w:szCs w:val="24"/>
        </w:rPr>
        <w:t>is</w:t>
      </w:r>
      <w:r>
        <w:rPr>
          <w:rFonts w:ascii="Times New Roman" w:hAnsi="Times New Roman" w:cs="Times New Roman"/>
          <w:sz w:val="24"/>
          <w:szCs w:val="24"/>
        </w:rPr>
        <w:t xml:space="preserve"> leaves little doubt that the western end of the burial ground (the oldest part) was being severely disturbed by building(?) works.</w:t>
      </w:r>
    </w:p>
    <w:p w:rsidR="000435F2" w:rsidRDefault="000435F2" w:rsidP="000211E1">
      <w:pPr>
        <w:rPr>
          <w:rFonts w:ascii="Times New Roman" w:hAnsi="Times New Roman" w:cs="Times New Roman"/>
          <w:i/>
          <w:sz w:val="24"/>
          <w:szCs w:val="24"/>
        </w:rPr>
      </w:pPr>
    </w:p>
    <w:p w:rsidR="000435F2" w:rsidRDefault="001566B4" w:rsidP="000211E1">
      <w:pPr>
        <w:rPr>
          <w:rFonts w:ascii="Times New Roman" w:hAnsi="Times New Roman" w:cs="Times New Roman"/>
          <w:i/>
          <w:sz w:val="24"/>
          <w:szCs w:val="24"/>
        </w:rPr>
      </w:pPr>
      <w:r>
        <w:rPr>
          <w:rFonts w:ascii="Times New Roman" w:hAnsi="Times New Roman" w:cs="Times New Roman"/>
          <w:i/>
          <w:noProof/>
          <w:sz w:val="24"/>
          <w:szCs w:val="24"/>
          <w:lang w:eastAsia="en-GB"/>
        </w:rPr>
        <w:pict>
          <v:shapetype id="_x0000_t32" coordsize="21600,21600" o:spt="32" o:oned="t" path="m,l21600,21600e" filled="f">
            <v:path arrowok="t" fillok="f" o:connecttype="none"/>
            <o:lock v:ext="edit" shapetype="t"/>
          </v:shapetype>
          <v:shape id="_x0000_s1026" type="#_x0000_t32" style="position:absolute;margin-left:63.1pt;margin-top:15.55pt;width:321.15pt;height:.8pt;flip:y;z-index:251664384" o:connectortype="straight"/>
        </w:pict>
      </w:r>
    </w:p>
    <w:p w:rsidR="00924C41" w:rsidRPr="00B775FB" w:rsidRDefault="00924C41" w:rsidP="000211E1">
      <w:pPr>
        <w:rPr>
          <w:rFonts w:ascii="Times New Roman" w:hAnsi="Times New Roman" w:cs="Times New Roman"/>
          <w:i/>
          <w:sz w:val="24"/>
          <w:szCs w:val="24"/>
        </w:rPr>
      </w:pPr>
      <w:r>
        <w:rPr>
          <w:rFonts w:ascii="Times New Roman" w:hAnsi="Times New Roman" w:cs="Times New Roman"/>
          <w:i/>
          <w:noProof/>
          <w:sz w:val="24"/>
          <w:szCs w:val="24"/>
          <w:lang w:eastAsia="en-GB"/>
        </w:rPr>
        <w:drawing>
          <wp:anchor distT="0" distB="0" distL="114300" distR="114300" simplePos="0" relativeHeight="251663360" behindDoc="0" locked="0" layoutInCell="1" allowOverlap="1">
            <wp:simplePos x="0" y="0"/>
            <wp:positionH relativeFrom="margin">
              <wp:align>center</wp:align>
            </wp:positionH>
            <wp:positionV relativeFrom="margin">
              <wp:align>top</wp:align>
            </wp:positionV>
            <wp:extent cx="4647514" cy="4644828"/>
            <wp:effectExtent l="19050" t="0" r="686" b="0"/>
            <wp:wrapSquare wrapText="bothSides"/>
            <wp:docPr id="9" name="Picture 8" descr="google 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overlay.png"/>
                    <pic:cNvPicPr/>
                  </pic:nvPicPr>
                  <pic:blipFill>
                    <a:blip r:embed="rId14" cstate="print"/>
                    <a:stretch>
                      <a:fillRect/>
                    </a:stretch>
                  </pic:blipFill>
                  <pic:spPr>
                    <a:xfrm>
                      <a:off x="0" y="0"/>
                      <a:ext cx="4647514" cy="4644828"/>
                    </a:xfrm>
                    <a:prstGeom prst="rect">
                      <a:avLst/>
                    </a:prstGeom>
                  </pic:spPr>
                </pic:pic>
              </a:graphicData>
            </a:graphic>
          </wp:anchor>
        </w:drawing>
      </w:r>
    </w:p>
    <w:sectPr w:rsidR="00924C41" w:rsidRPr="00B775FB" w:rsidSect="00914086">
      <w:headerReference w:type="default" r:id="rId15"/>
      <w:footerReference w:type="default" r:id="rId16"/>
      <w:pgSz w:w="11906" w:h="16838"/>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6C22" w:rsidRDefault="00E46C22" w:rsidP="00921957">
      <w:pPr>
        <w:spacing w:after="0" w:line="240" w:lineRule="auto"/>
      </w:pPr>
      <w:r>
        <w:separator/>
      </w:r>
    </w:p>
  </w:endnote>
  <w:endnote w:type="continuationSeparator" w:id="0">
    <w:p w:rsidR="00E46C22" w:rsidRDefault="00E46C22" w:rsidP="009219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23767"/>
      <w:docPartObj>
        <w:docPartGallery w:val="Page Numbers (Bottom of Page)"/>
        <w:docPartUnique/>
      </w:docPartObj>
    </w:sdtPr>
    <w:sdtContent>
      <w:p w:rsidR="00924C41" w:rsidRDefault="001566B4">
        <w:pPr>
          <w:pStyle w:val="Footer"/>
          <w:jc w:val="center"/>
        </w:pPr>
        <w:fldSimple w:instr=" PAGE   \* MERGEFORMAT ">
          <w:r w:rsidR="008B0301">
            <w:rPr>
              <w:noProof/>
            </w:rPr>
            <w:t>2</w:t>
          </w:r>
        </w:fldSimple>
      </w:p>
    </w:sdtContent>
  </w:sdt>
  <w:p w:rsidR="00924C41" w:rsidRDefault="00924C4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6C22" w:rsidRDefault="00E46C22" w:rsidP="00921957">
      <w:pPr>
        <w:spacing w:after="0" w:line="240" w:lineRule="auto"/>
      </w:pPr>
      <w:r>
        <w:separator/>
      </w:r>
    </w:p>
  </w:footnote>
  <w:footnote w:type="continuationSeparator" w:id="0">
    <w:p w:rsidR="00E46C22" w:rsidRDefault="00E46C22" w:rsidP="00921957">
      <w:pPr>
        <w:spacing w:after="0" w:line="240" w:lineRule="auto"/>
      </w:pPr>
      <w:r>
        <w:continuationSeparator/>
      </w:r>
    </w:p>
  </w:footnote>
  <w:footnote w:id="1">
    <w:p w:rsidR="00924C41" w:rsidRDefault="00924C41">
      <w:pPr>
        <w:pStyle w:val="FootnoteText"/>
      </w:pPr>
      <w:r>
        <w:rPr>
          <w:rStyle w:val="FootnoteReference"/>
        </w:rPr>
        <w:footnoteRef/>
      </w:r>
      <w:r>
        <w:t xml:space="preserve"> This Bill entitled: </w:t>
      </w:r>
      <w:r w:rsidRPr="003B4B72">
        <w:rPr>
          <w:i/>
        </w:rPr>
        <w:t>“An Act for the Better Relief and Employment of the Poor in the Hundred of Lothingland in the County of Suffolk”</w:t>
      </w:r>
      <w:r>
        <w:t>, passed by the House of Lords on 12</w:t>
      </w:r>
      <w:r w:rsidRPr="003B4B72">
        <w:rPr>
          <w:vertAlign w:val="superscript"/>
        </w:rPr>
        <w:t>th</w:t>
      </w:r>
      <w:r>
        <w:t xml:space="preserve"> April 1864 – House of Lords Journal, Vol. 30 p. 569.</w:t>
      </w:r>
    </w:p>
  </w:footnote>
  <w:footnote w:id="2">
    <w:p w:rsidR="00924C41" w:rsidRPr="00921957" w:rsidRDefault="00924C41">
      <w:pPr>
        <w:pStyle w:val="FootnoteText"/>
      </w:pPr>
      <w:r>
        <w:rPr>
          <w:rStyle w:val="FootnoteReference"/>
        </w:rPr>
        <w:footnoteRef/>
      </w:r>
      <w:r>
        <w:t xml:space="preserve"> White’s 1844 </w:t>
      </w:r>
      <w:r>
        <w:rPr>
          <w:u w:val="single"/>
        </w:rPr>
        <w:t xml:space="preserve">Directory of Suffolk, </w:t>
      </w:r>
      <w:r>
        <w:t xml:space="preserve">page 481. However, according to the website </w:t>
      </w:r>
      <w:hyperlink r:id="rId1" w:history="1">
        <w:r w:rsidRPr="0075282F">
          <w:rPr>
            <w:rStyle w:val="Hyperlink"/>
          </w:rPr>
          <w:t>http://www.workhouses.org.uk/Mutford/</w:t>
        </w:r>
      </w:hyperlink>
      <w:r>
        <w:t xml:space="preserve"> the sum of £5,725 was borrowed to complete the work.</w:t>
      </w:r>
    </w:p>
  </w:footnote>
  <w:footnote w:id="3">
    <w:p w:rsidR="00924C41" w:rsidRDefault="00924C41">
      <w:pPr>
        <w:pStyle w:val="FootnoteText"/>
      </w:pPr>
      <w:r>
        <w:rPr>
          <w:rStyle w:val="FootnoteReference"/>
        </w:rPr>
        <w:footnoteRef/>
      </w:r>
      <w:r>
        <w:t xml:space="preserve"> 19 Geo V, Chapter 17.</w:t>
      </w:r>
    </w:p>
  </w:footnote>
  <w:footnote w:id="4">
    <w:p w:rsidR="00924C41" w:rsidRDefault="00924C41">
      <w:pPr>
        <w:pStyle w:val="FootnoteText"/>
      </w:pPr>
      <w:r>
        <w:rPr>
          <w:rStyle w:val="FootnoteReference"/>
        </w:rPr>
        <w:footnoteRef/>
      </w:r>
      <w:r>
        <w:t xml:space="preserve"> Oulton Park Care Centre.</w:t>
      </w:r>
    </w:p>
  </w:footnote>
  <w:footnote w:id="5">
    <w:p w:rsidR="00924C41" w:rsidRDefault="00924C41">
      <w:pPr>
        <w:pStyle w:val="FootnoteText"/>
      </w:pPr>
      <w:r>
        <w:rPr>
          <w:rStyle w:val="FootnoteReference"/>
        </w:rPr>
        <w:footnoteRef/>
      </w:r>
      <w:r>
        <w:t xml:space="preserve"> No early records of Oulton Workhouse and its environs are extant, most date from the mid-19</w:t>
      </w:r>
      <w:r w:rsidRPr="00B63C65">
        <w:rPr>
          <w:vertAlign w:val="superscript"/>
        </w:rPr>
        <w:t>th</w:t>
      </w:r>
      <w:r>
        <w:t xml:space="preserve"> century onwards and are in the Lowestoft Branch of the Suffolk Record Office, collection 34. The workhouse website </w:t>
      </w:r>
      <w:hyperlink r:id="rId2" w:history="1">
        <w:r w:rsidRPr="0075282F">
          <w:rPr>
            <w:rStyle w:val="Hyperlink"/>
          </w:rPr>
          <w:t>http://www.workhouses.org.uk/Mutford/</w:t>
        </w:r>
      </w:hyperlink>
      <w:r>
        <w:t xml:space="preserve"> infers that there was a burial ground from the beginning but offers no evidence.</w:t>
      </w:r>
    </w:p>
  </w:footnote>
  <w:footnote w:id="6">
    <w:p w:rsidR="00924C41" w:rsidRDefault="00924C41">
      <w:pPr>
        <w:pStyle w:val="FootnoteText"/>
      </w:pPr>
      <w:r>
        <w:rPr>
          <w:rStyle w:val="FootnoteReference"/>
        </w:rPr>
        <w:footnoteRef/>
      </w:r>
      <w:r>
        <w:t xml:space="preserve"> Lowestoft Record Office, Ref: 34/CB1/1.</w:t>
      </w:r>
    </w:p>
  </w:footnote>
  <w:footnote w:id="7">
    <w:p w:rsidR="00924C41" w:rsidRPr="004B3EB5" w:rsidRDefault="00924C41" w:rsidP="004B3EB5">
      <w:pPr>
        <w:spacing w:after="0"/>
        <w:rPr>
          <w:rFonts w:ascii="Times New Roman" w:hAnsi="Times New Roman" w:cs="Times New Roman"/>
          <w:sz w:val="24"/>
          <w:szCs w:val="24"/>
        </w:rPr>
      </w:pPr>
      <w:r>
        <w:rPr>
          <w:rStyle w:val="FootnoteReference"/>
        </w:rPr>
        <w:footnoteRef/>
      </w:r>
      <w:r>
        <w:t xml:space="preserve"> </w:t>
      </w:r>
      <w:r w:rsidRPr="004B3EB5">
        <w:rPr>
          <w:rFonts w:cstheme="minorHAnsi"/>
          <w:sz w:val="20"/>
          <w:szCs w:val="20"/>
        </w:rPr>
        <w:t>It is possible that an earlier re</w:t>
      </w:r>
      <w:r>
        <w:rPr>
          <w:rFonts w:cstheme="minorHAnsi"/>
          <w:sz w:val="20"/>
          <w:szCs w:val="20"/>
        </w:rPr>
        <w:t>gister existed but is no longer extant.</w:t>
      </w:r>
    </w:p>
  </w:footnote>
  <w:footnote w:id="8">
    <w:p w:rsidR="00924C41" w:rsidRDefault="00924C41">
      <w:pPr>
        <w:pStyle w:val="FootnoteText"/>
      </w:pPr>
      <w:r>
        <w:rPr>
          <w:rStyle w:val="FootnoteReference"/>
        </w:rPr>
        <w:footnoteRef/>
      </w:r>
      <w:r>
        <w:t xml:space="preserve"> Lowestoft Record Office, Ref: 544/32 &amp; 33.</w:t>
      </w:r>
    </w:p>
  </w:footnote>
  <w:footnote w:id="9">
    <w:p w:rsidR="00924C41" w:rsidRDefault="00924C41">
      <w:pPr>
        <w:pStyle w:val="FootnoteText"/>
      </w:pPr>
      <w:r>
        <w:rPr>
          <w:rStyle w:val="FootnoteReference"/>
        </w:rPr>
        <w:footnoteRef/>
      </w:r>
      <w:r>
        <w:t xml:space="preserve"> Report in The Lowestoft Journal</w:t>
      </w:r>
      <w:r w:rsidR="000435F2">
        <w:t>, 20 May 1893, page 4</w:t>
      </w:r>
      <w:r>
        <w:t>.</w:t>
      </w:r>
    </w:p>
  </w:footnote>
  <w:footnote w:id="10">
    <w:p w:rsidR="00924C41" w:rsidRDefault="00924C41">
      <w:pPr>
        <w:pStyle w:val="FootnoteText"/>
      </w:pPr>
      <w:r>
        <w:rPr>
          <w:rStyle w:val="FootnoteReference"/>
        </w:rPr>
        <w:footnoteRef/>
      </w:r>
      <w:r>
        <w:t xml:space="preserve"> Mutford &amp; Lothingland Incorporation Minute Book, Lowestoft Record Office, Ref: 34/AB2/2, f.1.</w:t>
      </w:r>
    </w:p>
  </w:footnote>
  <w:footnote w:id="11">
    <w:p w:rsidR="00924C41" w:rsidRDefault="00924C41">
      <w:pPr>
        <w:pStyle w:val="FootnoteText"/>
      </w:pPr>
      <w:r>
        <w:rPr>
          <w:rStyle w:val="FootnoteReference"/>
        </w:rPr>
        <w:footnoteRef/>
      </w:r>
      <w:r>
        <w:t xml:space="preserve"> ibid. 34/AB2/2, f.36.</w:t>
      </w:r>
    </w:p>
  </w:footnote>
  <w:footnote w:id="12">
    <w:p w:rsidR="00924C41" w:rsidRDefault="00924C41">
      <w:pPr>
        <w:pStyle w:val="FootnoteText"/>
      </w:pPr>
      <w:r>
        <w:rPr>
          <w:rStyle w:val="FootnoteReference"/>
        </w:rPr>
        <w:footnoteRef/>
      </w:r>
      <w:r>
        <w:t xml:space="preserve"> A supervisory body set up by an Act of Parliament in 1871 for “. . . </w:t>
      </w:r>
      <w:r>
        <w:rPr>
          <w:rFonts w:ascii="Arial" w:hAnsi="Arial" w:cs="Arial"/>
          <w:i/>
          <w:iCs/>
          <w:color w:val="222222"/>
          <w:sz w:val="18"/>
          <w:szCs w:val="18"/>
          <w:shd w:val="clear" w:color="auto" w:fill="FFFFFF"/>
        </w:rPr>
        <w:t>the supervision of the laws relating to the public health, the relief of the poor, and local government"</w:t>
      </w:r>
      <w:r>
        <w:t xml:space="preserve"> .  It was abolished in 1919.</w:t>
      </w:r>
    </w:p>
  </w:footnote>
  <w:footnote w:id="13">
    <w:p w:rsidR="00924C41" w:rsidRDefault="00924C41">
      <w:pPr>
        <w:pStyle w:val="FootnoteText"/>
      </w:pPr>
      <w:r>
        <w:rPr>
          <w:rStyle w:val="FootnoteReference"/>
        </w:rPr>
        <w:footnoteRef/>
      </w:r>
      <w:r>
        <w:t xml:space="preserve"> op cit 34/AB2/2, f.157.</w:t>
      </w:r>
    </w:p>
  </w:footnote>
  <w:footnote w:id="14">
    <w:p w:rsidR="00924C41" w:rsidRDefault="00924C41">
      <w:pPr>
        <w:pStyle w:val="FootnoteText"/>
      </w:pPr>
      <w:r>
        <w:rPr>
          <w:rStyle w:val="FootnoteReference"/>
        </w:rPr>
        <w:footnoteRef/>
      </w:r>
      <w:r>
        <w:t xml:space="preserve"> ibid 34/AB2/2, f.164.</w:t>
      </w:r>
    </w:p>
  </w:footnote>
  <w:footnote w:id="15">
    <w:p w:rsidR="00924C41" w:rsidRDefault="00924C41">
      <w:pPr>
        <w:pStyle w:val="FootnoteText"/>
      </w:pPr>
      <w:r>
        <w:rPr>
          <w:rStyle w:val="FootnoteReference"/>
        </w:rPr>
        <w:footnoteRef/>
      </w:r>
      <w:r>
        <w:t xml:space="preserve"> ibid 34/AB2/2, f.178.</w:t>
      </w:r>
    </w:p>
  </w:footnote>
  <w:footnote w:id="16">
    <w:p w:rsidR="00924C41" w:rsidRDefault="00924C41">
      <w:pPr>
        <w:pStyle w:val="FootnoteText"/>
      </w:pPr>
      <w:r>
        <w:rPr>
          <w:rStyle w:val="FootnoteReference"/>
        </w:rPr>
        <w:footnoteRef/>
      </w:r>
      <w:r>
        <w:t xml:space="preserve"> ibid 34/AB2/2/ f. 181 &amp; 182.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5F2" w:rsidRDefault="000435F2">
    <w:pPr>
      <w:pStyle w:val="Header"/>
    </w:pPr>
    <w:r>
      <w:t>Oulton Workhouse Burial Ground</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proofState w:spelling="clean"/>
  <w:documentProtection w:edit="readOnly" w:formatting="1" w:enforcement="1" w:cryptProviderType="rsaFull" w:cryptAlgorithmClass="hash" w:cryptAlgorithmType="typeAny" w:cryptAlgorithmSid="4" w:cryptSpinCount="100000" w:hash="g/dJZYmZz0yjAGHkCXwn4AeWrQE=" w:salt="JCleQ72RdA7oAOtYft9IYA=="/>
  <w:defaultTabStop w:val="720"/>
  <w:characterSpacingControl w:val="doNotCompress"/>
  <w:footnotePr>
    <w:footnote w:id="-1"/>
    <w:footnote w:id="0"/>
  </w:footnotePr>
  <w:endnotePr>
    <w:endnote w:id="-1"/>
    <w:endnote w:id="0"/>
  </w:endnotePr>
  <w:compat/>
  <w:rsids>
    <w:rsidRoot w:val="00D50691"/>
    <w:rsid w:val="000211E1"/>
    <w:rsid w:val="000435F2"/>
    <w:rsid w:val="00093C78"/>
    <w:rsid w:val="001566B4"/>
    <w:rsid w:val="00221581"/>
    <w:rsid w:val="002666C6"/>
    <w:rsid w:val="002735BF"/>
    <w:rsid w:val="002947D3"/>
    <w:rsid w:val="003B4B72"/>
    <w:rsid w:val="00403D5D"/>
    <w:rsid w:val="00431A70"/>
    <w:rsid w:val="00446351"/>
    <w:rsid w:val="004B3EB5"/>
    <w:rsid w:val="004D4EC4"/>
    <w:rsid w:val="005856D9"/>
    <w:rsid w:val="005E6B3D"/>
    <w:rsid w:val="006040CD"/>
    <w:rsid w:val="00656592"/>
    <w:rsid w:val="006C430A"/>
    <w:rsid w:val="006F4CA5"/>
    <w:rsid w:val="00875C64"/>
    <w:rsid w:val="008B0301"/>
    <w:rsid w:val="00914086"/>
    <w:rsid w:val="00921957"/>
    <w:rsid w:val="00924C41"/>
    <w:rsid w:val="0093407D"/>
    <w:rsid w:val="00935AD7"/>
    <w:rsid w:val="00941AE1"/>
    <w:rsid w:val="00972E67"/>
    <w:rsid w:val="009757BB"/>
    <w:rsid w:val="00A5461D"/>
    <w:rsid w:val="00B046A2"/>
    <w:rsid w:val="00B2610F"/>
    <w:rsid w:val="00B43349"/>
    <w:rsid w:val="00B63C65"/>
    <w:rsid w:val="00B775FB"/>
    <w:rsid w:val="00D50691"/>
    <w:rsid w:val="00E46C22"/>
    <w:rsid w:val="00F81711"/>
    <w:rsid w:val="00FB645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08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06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0691"/>
    <w:rPr>
      <w:rFonts w:ascii="Tahoma" w:hAnsi="Tahoma" w:cs="Tahoma"/>
      <w:sz w:val="16"/>
      <w:szCs w:val="16"/>
    </w:rPr>
  </w:style>
  <w:style w:type="paragraph" w:styleId="FootnoteText">
    <w:name w:val="footnote text"/>
    <w:basedOn w:val="Normal"/>
    <w:link w:val="FootnoteTextChar"/>
    <w:uiPriority w:val="99"/>
    <w:semiHidden/>
    <w:unhideWhenUsed/>
    <w:rsid w:val="009219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1957"/>
    <w:rPr>
      <w:sz w:val="20"/>
      <w:szCs w:val="20"/>
    </w:rPr>
  </w:style>
  <w:style w:type="character" w:styleId="FootnoteReference">
    <w:name w:val="footnote reference"/>
    <w:basedOn w:val="DefaultParagraphFont"/>
    <w:uiPriority w:val="99"/>
    <w:semiHidden/>
    <w:unhideWhenUsed/>
    <w:rsid w:val="00921957"/>
    <w:rPr>
      <w:vertAlign w:val="superscript"/>
    </w:rPr>
  </w:style>
  <w:style w:type="character" w:styleId="Hyperlink">
    <w:name w:val="Hyperlink"/>
    <w:basedOn w:val="DefaultParagraphFont"/>
    <w:uiPriority w:val="99"/>
    <w:unhideWhenUsed/>
    <w:rsid w:val="00921957"/>
    <w:rPr>
      <w:color w:val="0000FF" w:themeColor="hyperlink"/>
      <w:u w:val="single"/>
    </w:rPr>
  </w:style>
  <w:style w:type="paragraph" w:styleId="Caption">
    <w:name w:val="caption"/>
    <w:basedOn w:val="Normal"/>
    <w:next w:val="Normal"/>
    <w:uiPriority w:val="35"/>
    <w:unhideWhenUsed/>
    <w:qFormat/>
    <w:rsid w:val="00B63C65"/>
    <w:pPr>
      <w:spacing w:line="240" w:lineRule="auto"/>
    </w:pPr>
    <w:rPr>
      <w:b/>
      <w:bCs/>
      <w:color w:val="4F81BD" w:themeColor="accent1"/>
      <w:sz w:val="18"/>
      <w:szCs w:val="18"/>
    </w:rPr>
  </w:style>
  <w:style w:type="paragraph" w:styleId="Header">
    <w:name w:val="header"/>
    <w:basedOn w:val="Normal"/>
    <w:link w:val="HeaderChar"/>
    <w:uiPriority w:val="99"/>
    <w:unhideWhenUsed/>
    <w:rsid w:val="004B3E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3EB5"/>
  </w:style>
  <w:style w:type="paragraph" w:styleId="Footer">
    <w:name w:val="footer"/>
    <w:basedOn w:val="Normal"/>
    <w:link w:val="FooterChar"/>
    <w:uiPriority w:val="99"/>
    <w:unhideWhenUsed/>
    <w:rsid w:val="004B3E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3EB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http://www.workhouses.org.uk/Mutford/" TargetMode="External"/><Relationship Id="rId1" Type="http://schemas.openxmlformats.org/officeDocument/2006/relationships/hyperlink" Target="http://www.workhouses.org.uk/Mutfo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16AB1F-7796-4ADD-A561-53A34C372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8</Pages>
  <Words>1138</Words>
  <Characters>6488</Characters>
  <Application>Microsoft Office Word</Application>
  <DocSecurity>8</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dc:creator>
  <cp:lastModifiedBy>Ivan</cp:lastModifiedBy>
  <cp:revision>10</cp:revision>
  <dcterms:created xsi:type="dcterms:W3CDTF">2017-07-07T20:04:00Z</dcterms:created>
  <dcterms:modified xsi:type="dcterms:W3CDTF">2017-07-11T20:30:00Z</dcterms:modified>
</cp:coreProperties>
</file>